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2A1" w:rsidRPr="00D10109" w:rsidRDefault="00577EE9" w:rsidP="008C2C7C">
      <w:pPr>
        <w:autoSpaceDE w:val="0"/>
        <w:autoSpaceDN w:val="0"/>
        <w:adjustRightInd w:val="0"/>
        <w:spacing w:before="360" w:after="0"/>
        <w:jc w:val="center"/>
        <w:rPr>
          <w:rFonts w:cs="Tahoma"/>
          <w:b/>
          <w:bCs/>
          <w:color w:val="FFFFFF"/>
          <w:sz w:val="28"/>
          <w:szCs w:val="28"/>
        </w:rPr>
      </w:pPr>
      <w:r>
        <w:rPr>
          <w:rFonts w:cs="Tahoma"/>
          <w:b/>
          <w:bCs/>
          <w:noProof/>
          <w:color w:val="FFFFFF"/>
          <w:sz w:val="28"/>
          <w:szCs w:val="28"/>
          <w:lang w:bidi="ar-SA"/>
        </w:rPr>
        <w:drawing>
          <wp:anchor distT="0" distB="0" distL="114300" distR="114300" simplePos="0" relativeHeight="251658240" behindDoc="1" locked="0" layoutInCell="1" allowOverlap="1">
            <wp:simplePos x="0" y="0"/>
            <wp:positionH relativeFrom="page">
              <wp:align>left</wp:align>
            </wp:positionH>
            <wp:positionV relativeFrom="paragraph">
              <wp:posOffset>-2152015</wp:posOffset>
            </wp:positionV>
            <wp:extent cx="7581265" cy="3555365"/>
            <wp:effectExtent l="0" t="0" r="63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74673"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81265" cy="35553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b/>
          <w:bCs/>
          <w:noProof/>
          <w:color w:val="FFFFFF"/>
          <w:sz w:val="28"/>
          <w:szCs w:val="28"/>
          <w:lang w:bidi="ar-SA"/>
        </w:rPr>
        <w:drawing>
          <wp:anchor distT="0" distB="0" distL="114300" distR="114300" simplePos="0" relativeHeight="251659264" behindDoc="0" locked="0" layoutInCell="1" allowOverlap="1">
            <wp:simplePos x="0" y="0"/>
            <wp:positionH relativeFrom="column">
              <wp:posOffset>5746750</wp:posOffset>
            </wp:positionH>
            <wp:positionV relativeFrom="paragraph">
              <wp:posOffset>-791845</wp:posOffset>
            </wp:positionV>
            <wp:extent cx="837565" cy="74739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6740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7565" cy="74739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FFFFFF"/>
          <w:sz w:val="28"/>
        </w:rPr>
        <w:t>Avviso di posto vacante: responsabile della sezione Comunicazione e portavoce</w:t>
      </w:r>
    </w:p>
    <w:p w:rsidR="009C576F" w:rsidRPr="00D10109" w:rsidRDefault="00577EE9" w:rsidP="006052A1">
      <w:pPr>
        <w:autoSpaceDE w:val="0"/>
        <w:autoSpaceDN w:val="0"/>
        <w:adjustRightInd w:val="0"/>
        <w:spacing w:after="0"/>
        <w:jc w:val="center"/>
        <w:rPr>
          <w:rFonts w:cs="Tahoma"/>
          <w:b/>
          <w:bCs/>
          <w:color w:val="FFFFFF"/>
          <w:sz w:val="28"/>
          <w:szCs w:val="28"/>
        </w:rPr>
      </w:pPr>
      <w:r>
        <w:rPr>
          <w:b/>
          <w:color w:val="FFFFFF"/>
          <w:sz w:val="28"/>
        </w:rPr>
        <w:t xml:space="preserve">Unità: Capacità e comunicazione in </w:t>
      </w:r>
      <w:r>
        <w:rPr>
          <w:rFonts w:cs="Tahoma"/>
          <w:b/>
          <w:bCs/>
          <w:color w:val="FFFFFF"/>
          <w:sz w:val="28"/>
          <w:szCs w:val="28"/>
        </w:rPr>
        <w:br/>
      </w:r>
      <w:r>
        <w:rPr>
          <w:b/>
          <w:color w:val="FFFFFF"/>
          <w:sz w:val="28"/>
        </w:rPr>
        <w:t>materia di salute pubblica (PHC)</w:t>
      </w:r>
    </w:p>
    <w:p w:rsidR="00A70868" w:rsidRPr="00D10109" w:rsidRDefault="00577EE9" w:rsidP="006052A1">
      <w:pPr>
        <w:autoSpaceDE w:val="0"/>
        <w:autoSpaceDN w:val="0"/>
        <w:adjustRightInd w:val="0"/>
        <w:spacing w:after="0"/>
        <w:jc w:val="center"/>
        <w:rPr>
          <w:rFonts w:cs="Tahoma"/>
          <w:b/>
          <w:bCs/>
          <w:color w:val="FFFFFF"/>
          <w:sz w:val="28"/>
          <w:szCs w:val="28"/>
        </w:rPr>
      </w:pPr>
      <w:r>
        <w:rPr>
          <w:b/>
          <w:color w:val="FFFFFF"/>
          <w:sz w:val="28"/>
        </w:rPr>
        <w:t>Riferimento: ECDC/AD/2018/PHC-HSCSP</w:t>
      </w:r>
    </w:p>
    <w:p w:rsidR="009C576F" w:rsidRDefault="009C576F" w:rsidP="00387284">
      <w:pPr>
        <w:autoSpaceDE w:val="0"/>
        <w:autoSpaceDN w:val="0"/>
        <w:adjustRightInd w:val="0"/>
        <w:rPr>
          <w:rFonts w:cs="Tahoma"/>
          <w:sz w:val="22"/>
          <w:szCs w:val="22"/>
        </w:rPr>
      </w:pPr>
    </w:p>
    <w:p w:rsidR="00AE3509" w:rsidRDefault="00AE3509" w:rsidP="00387284">
      <w:pPr>
        <w:autoSpaceDE w:val="0"/>
        <w:autoSpaceDN w:val="0"/>
        <w:adjustRightInd w:val="0"/>
        <w:rPr>
          <w:rFonts w:cs="Tahoma"/>
          <w:sz w:val="22"/>
          <w:szCs w:val="22"/>
        </w:rPr>
      </w:pPr>
    </w:p>
    <w:p w:rsidR="00846934" w:rsidRDefault="00577EE9" w:rsidP="0021123F">
      <w:pPr>
        <w:autoSpaceDE w:val="0"/>
        <w:autoSpaceDN w:val="0"/>
        <w:adjustRightInd w:val="0"/>
        <w:spacing w:after="120"/>
        <w:rPr>
          <w:rFonts w:cs="Tahoma"/>
          <w:sz w:val="22"/>
          <w:szCs w:val="22"/>
        </w:rPr>
      </w:pPr>
      <w:r>
        <w:rPr>
          <w:sz w:val="22"/>
        </w:rPr>
        <w:t xml:space="preserve">Gli interessati sono invitati a presentare la propria candidatura </w:t>
      </w:r>
      <w:r>
        <w:rPr>
          <w:sz w:val="22"/>
        </w:rPr>
        <w:t>per il posto summenzionato di agente temporaneo presso il Centro europeo per la prevenzione e il controllo delle malattie (ECDC).</w:t>
      </w:r>
    </w:p>
    <w:p w:rsidR="0021123F" w:rsidRPr="0021123F" w:rsidRDefault="00577EE9" w:rsidP="0021123F">
      <w:pPr>
        <w:autoSpaceDE w:val="0"/>
        <w:autoSpaceDN w:val="0"/>
        <w:adjustRightInd w:val="0"/>
        <w:spacing w:after="120"/>
        <w:rPr>
          <w:rFonts w:cs="Tahoma"/>
          <w:b/>
          <w:color w:val="69AE23"/>
          <w:sz w:val="28"/>
          <w:szCs w:val="28"/>
        </w:rPr>
      </w:pPr>
      <w:r>
        <w:rPr>
          <w:b/>
          <w:color w:val="69AE23"/>
          <w:sz w:val="28"/>
        </w:rPr>
        <w:t xml:space="preserve">Descrizione della posizione </w:t>
      </w:r>
    </w:p>
    <w:p w:rsidR="00D846EE" w:rsidRDefault="00577EE9" w:rsidP="00CB39C7">
      <w:pPr>
        <w:pStyle w:val="Puntoelenco"/>
        <w:numPr>
          <w:ilvl w:val="0"/>
          <w:numId w:val="0"/>
        </w:numPr>
        <w:spacing w:after="120"/>
        <w:rPr>
          <w:rFonts w:cs="Tahoma"/>
          <w:sz w:val="22"/>
          <w:szCs w:val="22"/>
        </w:rPr>
      </w:pPr>
      <w:r>
        <w:rPr>
          <w:sz w:val="22"/>
        </w:rPr>
        <w:t>Il titolare della posizione riferirà direttamente al direttore per la consulenza strategica sulla</w:t>
      </w:r>
      <w:r>
        <w:rPr>
          <w:sz w:val="22"/>
        </w:rPr>
        <w:t xml:space="preserve"> comunicazione e nel suo ruolo di portavoce, mentre per tutti gli altri compiti riferirà al capo dell’unità Capacità e comunicazione in materia di salute pubblica.</w:t>
      </w:r>
    </w:p>
    <w:p w:rsidR="00CB39C7" w:rsidRPr="00CB39C7" w:rsidRDefault="00577EE9" w:rsidP="00CB39C7">
      <w:pPr>
        <w:pStyle w:val="Puntoelenco"/>
        <w:numPr>
          <w:ilvl w:val="0"/>
          <w:numId w:val="0"/>
        </w:numPr>
        <w:spacing w:after="120"/>
        <w:rPr>
          <w:rFonts w:cs="Tahoma"/>
          <w:sz w:val="22"/>
          <w:szCs w:val="22"/>
        </w:rPr>
      </w:pPr>
      <w:r>
        <w:rPr>
          <w:sz w:val="22"/>
        </w:rPr>
        <w:t>Si occuperà in particolare dei seguenti ambiti di attività:</w:t>
      </w:r>
    </w:p>
    <w:p w:rsidR="00A73B10" w:rsidRPr="00A73B10" w:rsidRDefault="00577EE9" w:rsidP="00A73B10">
      <w:pPr>
        <w:pStyle w:val="Paragrafoelenco"/>
        <w:numPr>
          <w:ilvl w:val="0"/>
          <w:numId w:val="14"/>
        </w:numPr>
        <w:rPr>
          <w:rFonts w:ascii="Tahoma" w:hAnsi="Tahoma" w:cs="Tahoma"/>
        </w:rPr>
      </w:pPr>
      <w:r>
        <w:rPr>
          <w:rFonts w:ascii="Tahoma" w:hAnsi="Tahoma"/>
        </w:rPr>
        <w:t xml:space="preserve">gestire il lavoro connesso a </w:t>
      </w:r>
      <w:r>
        <w:rPr>
          <w:rFonts w:ascii="Tahoma" w:hAnsi="Tahoma"/>
        </w:rPr>
        <w:t>tutte le attività di comunicazione dell’ECDC (esterne, interne, aziendali);</w:t>
      </w:r>
    </w:p>
    <w:p w:rsidR="00A73B10" w:rsidRPr="00A73B10" w:rsidRDefault="00577EE9" w:rsidP="00A73B10">
      <w:pPr>
        <w:pStyle w:val="Paragrafoelenco"/>
        <w:numPr>
          <w:ilvl w:val="0"/>
          <w:numId w:val="14"/>
        </w:numPr>
        <w:rPr>
          <w:rFonts w:ascii="Tahoma" w:hAnsi="Tahoma" w:cs="Tahoma"/>
        </w:rPr>
      </w:pPr>
      <w:r>
        <w:rPr>
          <w:rFonts w:ascii="Tahoma" w:hAnsi="Tahoma"/>
        </w:rPr>
        <w:t>fornire consulenza strategica sulla comunicazione al direttore dell’ECDC;</w:t>
      </w:r>
    </w:p>
    <w:p w:rsidR="00A73B10" w:rsidRPr="00A73B10" w:rsidRDefault="00577EE9" w:rsidP="00A73B10">
      <w:pPr>
        <w:pStyle w:val="Paragrafoelenco"/>
        <w:numPr>
          <w:ilvl w:val="0"/>
          <w:numId w:val="14"/>
        </w:numPr>
        <w:rPr>
          <w:rFonts w:ascii="Tahoma" w:hAnsi="Tahoma" w:cs="Tahoma"/>
        </w:rPr>
      </w:pPr>
      <w:r>
        <w:rPr>
          <w:rFonts w:ascii="Tahoma" w:hAnsi="Tahoma"/>
        </w:rPr>
        <w:t>fornire supporto nella comunicazione per i processi di gestione del cambiamento in corso;</w:t>
      </w:r>
    </w:p>
    <w:p w:rsidR="00A73B10" w:rsidRPr="00A73B10" w:rsidRDefault="00577EE9" w:rsidP="00A73B10">
      <w:pPr>
        <w:pStyle w:val="Paragrafoelenco"/>
        <w:numPr>
          <w:ilvl w:val="0"/>
          <w:numId w:val="14"/>
        </w:numPr>
        <w:rPr>
          <w:rFonts w:ascii="Tahoma" w:hAnsi="Tahoma" w:cs="Tahoma"/>
        </w:rPr>
      </w:pPr>
      <w:r>
        <w:rPr>
          <w:rFonts w:ascii="Tahoma" w:hAnsi="Tahoma"/>
        </w:rPr>
        <w:t>agire come porta</w:t>
      </w:r>
      <w:r>
        <w:rPr>
          <w:rFonts w:ascii="Tahoma" w:hAnsi="Tahoma"/>
        </w:rPr>
        <w:t xml:space="preserve">voce per l’organizzazione; </w:t>
      </w:r>
    </w:p>
    <w:p w:rsidR="00A73B10" w:rsidRPr="00A73B10" w:rsidRDefault="00577EE9" w:rsidP="00A73B10">
      <w:pPr>
        <w:pStyle w:val="Paragrafoelenco"/>
        <w:numPr>
          <w:ilvl w:val="0"/>
          <w:numId w:val="14"/>
        </w:numPr>
        <w:rPr>
          <w:rFonts w:ascii="Tahoma" w:hAnsi="Tahoma" w:cs="Tahoma"/>
        </w:rPr>
      </w:pPr>
      <w:r>
        <w:rPr>
          <w:rFonts w:ascii="Tahoma" w:hAnsi="Tahoma"/>
        </w:rPr>
        <w:t>insieme ai capi unità e agli altri membri chiave del personale, partecipare ai gruppi di consultazione pertinenti del direttore;</w:t>
      </w:r>
    </w:p>
    <w:p w:rsidR="00A73B10" w:rsidRPr="00A73B10" w:rsidRDefault="00577EE9" w:rsidP="00A73B10">
      <w:pPr>
        <w:pStyle w:val="Paragrafoelenco"/>
        <w:numPr>
          <w:ilvl w:val="0"/>
          <w:numId w:val="14"/>
        </w:numPr>
        <w:rPr>
          <w:rFonts w:ascii="Tahoma" w:hAnsi="Tahoma" w:cs="Tahoma"/>
        </w:rPr>
      </w:pPr>
      <w:r>
        <w:rPr>
          <w:rFonts w:ascii="Tahoma" w:hAnsi="Tahoma"/>
        </w:rPr>
        <w:t>elaborare una strategia globale di comunicazione dell’ECDC, compresa la comunicazione esterna, azie</w:t>
      </w:r>
      <w:r>
        <w:rPr>
          <w:rFonts w:ascii="Tahoma" w:hAnsi="Tahoma"/>
        </w:rPr>
        <w:t xml:space="preserve">ndale e interna, al fine di attuare la strategia 2021-2027 dell’ECDC (attualmente in fase di elaborazione); </w:t>
      </w:r>
    </w:p>
    <w:p w:rsidR="00A73B10" w:rsidRPr="00A73B10" w:rsidRDefault="00577EE9" w:rsidP="00A73B10">
      <w:pPr>
        <w:pStyle w:val="Paragrafoelenco"/>
        <w:numPr>
          <w:ilvl w:val="0"/>
          <w:numId w:val="14"/>
        </w:numPr>
        <w:rPr>
          <w:rFonts w:ascii="Tahoma" w:hAnsi="Tahoma" w:cs="Tahoma"/>
        </w:rPr>
      </w:pPr>
      <w:r>
        <w:rPr>
          <w:rFonts w:ascii="Tahoma" w:hAnsi="Tahoma"/>
        </w:rPr>
        <w:t>fornire sostegno all’organizzazione, ad esempio attraverso campagne europee in tema di salute, in particolare in occasione delle annuali Giornate e</w:t>
      </w:r>
      <w:r>
        <w:rPr>
          <w:rFonts w:ascii="Tahoma" w:hAnsi="Tahoma"/>
        </w:rPr>
        <w:t>uropee di informazione sugli antibiotici;</w:t>
      </w:r>
    </w:p>
    <w:p w:rsidR="00A73B10" w:rsidRPr="00A73B10" w:rsidRDefault="00577EE9" w:rsidP="00A73B10">
      <w:pPr>
        <w:pStyle w:val="Paragrafoelenco"/>
        <w:numPr>
          <w:ilvl w:val="0"/>
          <w:numId w:val="14"/>
        </w:numPr>
        <w:rPr>
          <w:rFonts w:ascii="Tahoma" w:hAnsi="Tahoma" w:cs="Tahoma"/>
        </w:rPr>
      </w:pPr>
      <w:r>
        <w:rPr>
          <w:rFonts w:ascii="Tahoma" w:hAnsi="Tahoma"/>
        </w:rPr>
        <w:t>fornire sostegno alla Commissione europea e agli Stati membri nell’ambito della comunicazione in merito ai rischi e alle crisi nel contesto della decisione 1082/2013/UE relativa alle gravi minacce per la salute a c</w:t>
      </w:r>
      <w:r>
        <w:rPr>
          <w:rFonts w:ascii="Tahoma" w:hAnsi="Tahoma"/>
        </w:rPr>
        <w:t>arattere transfrontaliero;</w:t>
      </w:r>
    </w:p>
    <w:p w:rsidR="00A73B10" w:rsidRPr="00A73B10" w:rsidRDefault="00577EE9" w:rsidP="00A73B10">
      <w:pPr>
        <w:pStyle w:val="Paragrafoelenco"/>
        <w:numPr>
          <w:ilvl w:val="0"/>
          <w:numId w:val="14"/>
        </w:numPr>
        <w:rPr>
          <w:rFonts w:ascii="Tahoma" w:hAnsi="Tahoma" w:cs="Tahoma"/>
        </w:rPr>
      </w:pPr>
      <w:r>
        <w:rPr>
          <w:rFonts w:ascii="Tahoma" w:hAnsi="Tahoma"/>
        </w:rPr>
        <w:t>impegnarsi in modo proattivo con le parti interessate dell’ECDC nell’ambito della comunicazione e sostenere lo sviluppo di «comunità di prassi» nelle aree della comunicazione;</w:t>
      </w:r>
    </w:p>
    <w:p w:rsidR="00A73B10" w:rsidRPr="00A73B10" w:rsidRDefault="00577EE9" w:rsidP="00A73B10">
      <w:pPr>
        <w:pStyle w:val="Paragrafoelenco"/>
        <w:numPr>
          <w:ilvl w:val="0"/>
          <w:numId w:val="14"/>
        </w:numPr>
        <w:rPr>
          <w:rFonts w:ascii="Tahoma" w:hAnsi="Tahoma" w:cs="Tahoma"/>
        </w:rPr>
      </w:pPr>
      <w:r>
        <w:rPr>
          <w:rFonts w:ascii="Tahoma" w:hAnsi="Tahoma"/>
        </w:rPr>
        <w:t>svolgere la funzione di superiore diretto del persona</w:t>
      </w:r>
      <w:r>
        <w:rPr>
          <w:rFonts w:ascii="Tahoma" w:hAnsi="Tahoma"/>
        </w:rPr>
        <w:t>le della sezione e gestire l’attuazione del piano di lavoro e del bilancio della sezione;</w:t>
      </w:r>
    </w:p>
    <w:p w:rsidR="00A73B10" w:rsidRPr="00A73B10" w:rsidRDefault="00577EE9" w:rsidP="00A73B10">
      <w:pPr>
        <w:pStyle w:val="Paragrafoelenco"/>
        <w:numPr>
          <w:ilvl w:val="0"/>
          <w:numId w:val="14"/>
        </w:numPr>
        <w:rPr>
          <w:rFonts w:ascii="Tahoma" w:hAnsi="Tahoma" w:cs="Tahoma"/>
        </w:rPr>
      </w:pPr>
      <w:r>
        <w:rPr>
          <w:rFonts w:ascii="Tahoma" w:hAnsi="Tahoma"/>
        </w:rPr>
        <w:t>rappresentare l’ECDC in reti e incontri internazionali relativi alla comunicazione;</w:t>
      </w:r>
    </w:p>
    <w:p w:rsidR="00A73B10" w:rsidRPr="00A73B10" w:rsidRDefault="00577EE9" w:rsidP="00A73B10">
      <w:pPr>
        <w:pStyle w:val="Paragrafoelenco"/>
        <w:numPr>
          <w:ilvl w:val="0"/>
          <w:numId w:val="14"/>
        </w:numPr>
        <w:rPr>
          <w:rFonts w:ascii="Tahoma" w:hAnsi="Tahoma" w:cs="Tahoma"/>
        </w:rPr>
      </w:pPr>
      <w:r>
        <w:rPr>
          <w:rFonts w:ascii="Tahoma" w:hAnsi="Tahoma"/>
        </w:rPr>
        <w:t>contribuire ad altre attività dell’ECDC, secondo le esigenze e all’interno del pro</w:t>
      </w:r>
      <w:r>
        <w:rPr>
          <w:rFonts w:ascii="Tahoma" w:hAnsi="Tahoma"/>
        </w:rPr>
        <w:t>prio ambito di competenza.</w:t>
      </w:r>
    </w:p>
    <w:p w:rsidR="00155757" w:rsidRPr="00A73B10" w:rsidRDefault="00155757" w:rsidP="00266C6D">
      <w:pPr>
        <w:autoSpaceDE w:val="0"/>
        <w:autoSpaceDN w:val="0"/>
        <w:adjustRightInd w:val="0"/>
        <w:spacing w:after="120"/>
        <w:rPr>
          <w:rFonts w:cs="Tahoma"/>
          <w:b/>
          <w:color w:val="69AE23"/>
          <w:sz w:val="28"/>
          <w:szCs w:val="28"/>
        </w:rPr>
      </w:pPr>
    </w:p>
    <w:p w:rsidR="005D23DC" w:rsidRPr="00266C6D" w:rsidRDefault="00577EE9" w:rsidP="00266C6D">
      <w:pPr>
        <w:autoSpaceDE w:val="0"/>
        <w:autoSpaceDN w:val="0"/>
        <w:adjustRightInd w:val="0"/>
        <w:spacing w:after="120"/>
        <w:rPr>
          <w:rFonts w:cs="Tahoma"/>
          <w:b/>
          <w:color w:val="69AE23"/>
          <w:sz w:val="28"/>
          <w:szCs w:val="28"/>
        </w:rPr>
      </w:pPr>
      <w:r>
        <w:br w:type="page"/>
      </w:r>
      <w:r>
        <w:rPr>
          <w:b/>
          <w:color w:val="69AE23"/>
          <w:sz w:val="28"/>
        </w:rPr>
        <w:lastRenderedPageBreak/>
        <w:t>Qualifiche ed esperienze richieste</w:t>
      </w:r>
    </w:p>
    <w:p w:rsidR="005D23DC" w:rsidRPr="00BE6B94" w:rsidRDefault="00577EE9" w:rsidP="009A37AB">
      <w:pPr>
        <w:pStyle w:val="Titolo2"/>
        <w:numPr>
          <w:ilvl w:val="0"/>
          <w:numId w:val="5"/>
        </w:numPr>
        <w:tabs>
          <w:tab w:val="clear" w:pos="840"/>
        </w:tabs>
        <w:ind w:left="426" w:hanging="426"/>
        <w:rPr>
          <w:rFonts w:cs="Tahoma"/>
          <w:sz w:val="24"/>
          <w:szCs w:val="24"/>
        </w:rPr>
      </w:pPr>
      <w:r>
        <w:rPr>
          <w:sz w:val="24"/>
        </w:rPr>
        <w:t>Requisiti formali</w:t>
      </w:r>
    </w:p>
    <w:p w:rsidR="005D23DC" w:rsidRPr="00155757" w:rsidRDefault="00577EE9" w:rsidP="009A37AB">
      <w:pPr>
        <w:autoSpaceDE w:val="0"/>
        <w:autoSpaceDN w:val="0"/>
        <w:adjustRightInd w:val="0"/>
        <w:spacing w:after="120"/>
        <w:rPr>
          <w:rFonts w:cs="Tahoma"/>
          <w:sz w:val="22"/>
          <w:szCs w:val="22"/>
        </w:rPr>
      </w:pPr>
      <w:r>
        <w:rPr>
          <w:sz w:val="22"/>
        </w:rPr>
        <w:t>Per essere ammessi alla selezione, i candidati devono soddisfare i requisiti formali indicati di seguito:</w:t>
      </w:r>
    </w:p>
    <w:p w:rsidR="0086677C" w:rsidRPr="00A73B10" w:rsidRDefault="00577EE9" w:rsidP="00846934">
      <w:pPr>
        <w:pStyle w:val="ListBullet1"/>
        <w:spacing w:after="120"/>
        <w:ind w:left="766" w:hanging="284"/>
        <w:rPr>
          <w:rFonts w:cs="Tahoma"/>
          <w:sz w:val="22"/>
          <w:szCs w:val="22"/>
        </w:rPr>
      </w:pPr>
      <w:r>
        <w:rPr>
          <w:sz w:val="22"/>
        </w:rPr>
        <w:t xml:space="preserve">un livello di studi corrispondente a una formazione universitaria </w:t>
      </w:r>
      <w:r>
        <w:rPr>
          <w:sz w:val="22"/>
        </w:rPr>
        <w:t>completa attestata da un diploma, se la durata normale degli studi universitari è di almeno quattro anni, oppure un livello di studi corrispondente a una formazione universitaria completa attestata da un diploma e almeno un anno di esperienza professionale</w:t>
      </w:r>
      <w:r>
        <w:rPr>
          <w:sz w:val="22"/>
        </w:rPr>
        <w:t xml:space="preserve"> adeguata, se la durata normale degli studi universitari è di almeno tre anni</w:t>
      </w:r>
      <w:r>
        <w:rPr>
          <w:rStyle w:val="Rimandonotaapidipagina"/>
          <w:sz w:val="22"/>
        </w:rPr>
        <w:footnoteReference w:id="1"/>
      </w:r>
      <w:r>
        <w:rPr>
          <w:sz w:val="22"/>
        </w:rPr>
        <w:t xml:space="preserve">; </w:t>
      </w:r>
    </w:p>
    <w:p w:rsidR="007D2C6B" w:rsidRPr="00A73B10" w:rsidRDefault="00577EE9" w:rsidP="007D2C6B">
      <w:pPr>
        <w:pStyle w:val="ListBullet1"/>
        <w:spacing w:after="120"/>
        <w:ind w:left="763" w:hanging="288"/>
        <w:rPr>
          <w:rFonts w:cs="Tahoma"/>
          <w:sz w:val="22"/>
          <w:szCs w:val="22"/>
        </w:rPr>
      </w:pPr>
      <w:r>
        <w:rPr>
          <w:sz w:val="22"/>
        </w:rPr>
        <w:t>almeno nove anni di esperienza professionale</w:t>
      </w:r>
      <w:r>
        <w:rPr>
          <w:rStyle w:val="Rimandonotaapidipagina"/>
          <w:sz w:val="22"/>
        </w:rPr>
        <w:footnoteReference w:id="2"/>
      </w:r>
      <w:r>
        <w:rPr>
          <w:sz w:val="22"/>
        </w:rPr>
        <w:t xml:space="preserve"> (dopo il conseguimento della laurea);</w:t>
      </w:r>
    </w:p>
    <w:p w:rsidR="002D3B2E" w:rsidRPr="00570389" w:rsidRDefault="00577EE9" w:rsidP="00B74817">
      <w:pPr>
        <w:pStyle w:val="ListBullet1"/>
        <w:spacing w:after="120"/>
        <w:ind w:left="763" w:hanging="288"/>
        <w:rPr>
          <w:rFonts w:cs="Tahoma"/>
          <w:sz w:val="22"/>
          <w:szCs w:val="22"/>
        </w:rPr>
      </w:pPr>
      <w:r>
        <w:rPr>
          <w:sz w:val="22"/>
        </w:rPr>
        <w:t>possedere una conoscenza approfondita di una delle lingue dell’Unione europea e una conosce</w:t>
      </w:r>
      <w:r>
        <w:rPr>
          <w:sz w:val="22"/>
        </w:rPr>
        <w:t>nza soddisfacente di un’altra lingua dell’Unione europea nella misura necessaria alle funzioni da svolgere</w:t>
      </w:r>
      <w:r>
        <w:rPr>
          <w:rStyle w:val="Rimandonotaapidipagina"/>
          <w:sz w:val="22"/>
        </w:rPr>
        <w:footnoteReference w:id="3"/>
      </w:r>
      <w:r>
        <w:rPr>
          <w:sz w:val="22"/>
        </w:rPr>
        <w:t>;</w:t>
      </w:r>
    </w:p>
    <w:p w:rsidR="002D3B2E" w:rsidRPr="00867774" w:rsidRDefault="00577EE9" w:rsidP="002D3B2E">
      <w:pPr>
        <w:pStyle w:val="ListBullet1"/>
        <w:spacing w:after="120"/>
        <w:ind w:left="763" w:hanging="288"/>
        <w:rPr>
          <w:rFonts w:cs="Tahoma"/>
          <w:sz w:val="22"/>
          <w:szCs w:val="22"/>
        </w:rPr>
      </w:pPr>
      <w:r>
        <w:rPr>
          <w:sz w:val="22"/>
        </w:rPr>
        <w:t>essere cittadino di uno degli Stati membri dell’Unione europea o della Norvegia, dell’Islanda o del Liechtenstein;</w:t>
      </w:r>
    </w:p>
    <w:p w:rsidR="002D3B2E" w:rsidRPr="00867774" w:rsidRDefault="00577EE9" w:rsidP="002D3B2E">
      <w:pPr>
        <w:pStyle w:val="ListBullet1"/>
        <w:spacing w:after="120"/>
        <w:ind w:left="763" w:hanging="288"/>
        <w:rPr>
          <w:rFonts w:cs="Tahoma"/>
          <w:sz w:val="22"/>
          <w:szCs w:val="22"/>
        </w:rPr>
      </w:pPr>
      <w:r>
        <w:rPr>
          <w:sz w:val="22"/>
        </w:rPr>
        <w:t>godere dei diritti civili</w:t>
      </w:r>
      <w:r>
        <w:rPr>
          <w:rStyle w:val="Rimandonotaapidipagina"/>
          <w:sz w:val="22"/>
        </w:rPr>
        <w:footnoteReference w:id="4"/>
      </w:r>
      <w:r>
        <w:rPr>
          <w:sz w:val="22"/>
        </w:rPr>
        <w:t>;</w:t>
      </w:r>
    </w:p>
    <w:p w:rsidR="002D3B2E" w:rsidRPr="00867774" w:rsidRDefault="00577EE9" w:rsidP="002D3B2E">
      <w:pPr>
        <w:pStyle w:val="ListBullet1"/>
        <w:spacing w:after="120"/>
        <w:ind w:left="763" w:hanging="288"/>
        <w:rPr>
          <w:rFonts w:cs="Tahoma"/>
          <w:sz w:val="22"/>
          <w:szCs w:val="22"/>
        </w:rPr>
      </w:pPr>
      <w:r>
        <w:rPr>
          <w:sz w:val="22"/>
        </w:rPr>
        <w:t>essere in regola con le leggi applicabili in materia di obblighi militari;</w:t>
      </w:r>
    </w:p>
    <w:p w:rsidR="002D3B2E" w:rsidRPr="00867774" w:rsidRDefault="00577EE9" w:rsidP="002D3B2E">
      <w:pPr>
        <w:pStyle w:val="ListBullet1"/>
        <w:spacing w:after="120"/>
        <w:ind w:left="763" w:hanging="288"/>
        <w:rPr>
          <w:rFonts w:cs="Tahoma"/>
          <w:sz w:val="22"/>
          <w:szCs w:val="22"/>
        </w:rPr>
      </w:pPr>
      <w:r>
        <w:rPr>
          <w:sz w:val="22"/>
        </w:rPr>
        <w:t>offrire le garanzie di moralità richieste per le funzioni da svolgere;</w:t>
      </w:r>
    </w:p>
    <w:p w:rsidR="002D3B2E" w:rsidRPr="00867774" w:rsidRDefault="00577EE9" w:rsidP="002D3B2E">
      <w:pPr>
        <w:pStyle w:val="ListBullet1"/>
        <w:spacing w:after="120"/>
        <w:ind w:left="763" w:hanging="288"/>
        <w:rPr>
          <w:rFonts w:cs="Tahoma"/>
          <w:sz w:val="22"/>
          <w:szCs w:val="22"/>
        </w:rPr>
      </w:pPr>
      <w:r>
        <w:rPr>
          <w:sz w:val="22"/>
        </w:rPr>
        <w:t>essere fisicamente idoneo all’esercizio delle funzioni previste dalla posizione.</w:t>
      </w:r>
    </w:p>
    <w:p w:rsidR="005D23DC" w:rsidRPr="00DF4B24" w:rsidRDefault="005D23DC" w:rsidP="005D23DC">
      <w:pPr>
        <w:pStyle w:val="ListBullet1"/>
        <w:numPr>
          <w:ilvl w:val="0"/>
          <w:numId w:val="0"/>
        </w:numPr>
        <w:spacing w:after="120"/>
        <w:ind w:left="482"/>
        <w:rPr>
          <w:rFonts w:cs="Tahoma"/>
          <w:sz w:val="22"/>
          <w:szCs w:val="22"/>
        </w:rPr>
      </w:pPr>
    </w:p>
    <w:p w:rsidR="005D23DC" w:rsidRPr="00BE6B94" w:rsidRDefault="00577EE9" w:rsidP="001723E0">
      <w:pPr>
        <w:pStyle w:val="Titolo2"/>
        <w:numPr>
          <w:ilvl w:val="0"/>
          <w:numId w:val="5"/>
        </w:numPr>
        <w:tabs>
          <w:tab w:val="clear" w:pos="840"/>
          <w:tab w:val="num" w:pos="426"/>
        </w:tabs>
        <w:ind w:hanging="840"/>
        <w:rPr>
          <w:rFonts w:cs="Tahoma"/>
          <w:sz w:val="24"/>
          <w:szCs w:val="24"/>
        </w:rPr>
      </w:pPr>
      <w:r>
        <w:rPr>
          <w:sz w:val="24"/>
        </w:rPr>
        <w:t xml:space="preserve">Criteri di selezione </w:t>
      </w:r>
    </w:p>
    <w:p w:rsidR="0030465C" w:rsidRDefault="00577EE9" w:rsidP="0030465C">
      <w:pPr>
        <w:autoSpaceDE w:val="0"/>
        <w:autoSpaceDN w:val="0"/>
        <w:adjustRightInd w:val="0"/>
        <w:spacing w:after="120"/>
        <w:rPr>
          <w:rFonts w:cs="Tahoma"/>
          <w:color w:val="000000"/>
          <w:sz w:val="22"/>
          <w:szCs w:val="22"/>
        </w:rPr>
      </w:pPr>
      <w:r>
        <w:rPr>
          <w:color w:val="000000"/>
          <w:sz w:val="22"/>
        </w:rPr>
        <w:t xml:space="preserve">Per essere idonei a ricoprire la posizione, i candidati devono soddisfare i </w:t>
      </w:r>
      <w:r>
        <w:rPr>
          <w:i/>
          <w:color w:val="000000"/>
          <w:sz w:val="22"/>
        </w:rPr>
        <w:t>criteri essenziali</w:t>
      </w:r>
      <w:r>
        <w:rPr>
          <w:color w:val="000000"/>
          <w:sz w:val="22"/>
        </w:rPr>
        <w:t xml:space="preserve"> definiti dall’Agenzia in merito all’</w:t>
      </w:r>
      <w:r>
        <w:rPr>
          <w:i/>
          <w:color w:val="000000"/>
          <w:sz w:val="22"/>
        </w:rPr>
        <w:t xml:space="preserve">esperienza professionale </w:t>
      </w:r>
      <w:r>
        <w:rPr>
          <w:color w:val="000000"/>
          <w:sz w:val="22"/>
        </w:rPr>
        <w:t>e alle</w:t>
      </w:r>
      <w:r>
        <w:rPr>
          <w:i/>
          <w:color w:val="000000"/>
          <w:sz w:val="22"/>
        </w:rPr>
        <w:t xml:space="preserve"> caratteristiche personali/capacità relazionali</w:t>
      </w:r>
      <w:r>
        <w:rPr>
          <w:color w:val="000000"/>
          <w:sz w:val="22"/>
        </w:rPr>
        <w:t xml:space="preserve"> di seguito riportati.</w:t>
      </w:r>
    </w:p>
    <w:p w:rsidR="00B9092C" w:rsidRPr="00182E6F" w:rsidRDefault="00577EE9" w:rsidP="00B9092C">
      <w:pPr>
        <w:autoSpaceDE w:val="0"/>
        <w:autoSpaceDN w:val="0"/>
        <w:adjustRightInd w:val="0"/>
        <w:spacing w:before="240" w:after="120"/>
        <w:rPr>
          <w:i/>
          <w:sz w:val="22"/>
        </w:rPr>
      </w:pPr>
      <w:r>
        <w:rPr>
          <w:i/>
          <w:sz w:val="22"/>
        </w:rPr>
        <w:t>Esperienza/competenze pr</w:t>
      </w:r>
      <w:r>
        <w:rPr>
          <w:i/>
          <w:sz w:val="22"/>
        </w:rPr>
        <w:t>ofessionali</w:t>
      </w:r>
    </w:p>
    <w:p w:rsidR="00A73B10" w:rsidRPr="00A73B10" w:rsidRDefault="00577EE9" w:rsidP="00A73B10">
      <w:pPr>
        <w:pStyle w:val="ListBullet1"/>
        <w:spacing w:after="120"/>
        <w:ind w:left="763" w:hanging="288"/>
        <w:rPr>
          <w:rFonts w:cs="Tahoma"/>
          <w:sz w:val="22"/>
          <w:szCs w:val="22"/>
        </w:rPr>
      </w:pPr>
      <w:r>
        <w:rPr>
          <w:sz w:val="22"/>
        </w:rPr>
        <w:t xml:space="preserve">Almeno cinque anni di esperienza professionale maturata in posizioni aventi attinenza con le mansioni di cui alla posizione descritta; </w:t>
      </w:r>
    </w:p>
    <w:p w:rsidR="00A73B10" w:rsidRPr="00A73B10" w:rsidRDefault="00577EE9" w:rsidP="00A73B10">
      <w:pPr>
        <w:pStyle w:val="ListBullet1"/>
        <w:spacing w:after="120"/>
        <w:ind w:left="763" w:hanging="288"/>
        <w:rPr>
          <w:rFonts w:cs="Tahoma"/>
          <w:sz w:val="22"/>
          <w:szCs w:val="22"/>
        </w:rPr>
      </w:pPr>
      <w:r>
        <w:rPr>
          <w:sz w:val="22"/>
        </w:rPr>
        <w:lastRenderedPageBreak/>
        <w:t>ottima conoscenza, comprensione ed esperienza pratica di impiego di un ampio ventaglio di mezzi di comunicaz</w:t>
      </w:r>
      <w:r>
        <w:rPr>
          <w:sz w:val="22"/>
        </w:rPr>
        <w:t>ione tradizionali e di nuovi social media per una comunicazione efficace e proattiva;</w:t>
      </w:r>
    </w:p>
    <w:p w:rsidR="00A73B10" w:rsidRPr="00A73B10" w:rsidRDefault="00577EE9" w:rsidP="00A73B10">
      <w:pPr>
        <w:pStyle w:val="ListBullet1"/>
        <w:spacing w:after="120"/>
        <w:ind w:left="763" w:hanging="288"/>
        <w:rPr>
          <w:rFonts w:cs="Tahoma"/>
          <w:sz w:val="22"/>
          <w:szCs w:val="22"/>
        </w:rPr>
      </w:pPr>
      <w:r>
        <w:rPr>
          <w:sz w:val="22"/>
        </w:rPr>
        <w:t xml:space="preserve">esperienza nello sviluppo e nell’attuazione di strategie di comunicazione, incluse strategie volte ad accrescere la visibilità di un’organizzazione; </w:t>
      </w:r>
    </w:p>
    <w:p w:rsidR="00A73B10" w:rsidRPr="00A73B10" w:rsidRDefault="00577EE9" w:rsidP="00A73B10">
      <w:pPr>
        <w:pStyle w:val="ListBullet1"/>
        <w:spacing w:after="120"/>
        <w:ind w:left="763" w:hanging="288"/>
        <w:rPr>
          <w:rFonts w:cs="Tahoma"/>
          <w:sz w:val="22"/>
          <w:szCs w:val="22"/>
        </w:rPr>
      </w:pPr>
      <w:r>
        <w:rPr>
          <w:sz w:val="22"/>
        </w:rPr>
        <w:t>esperienza come port</w:t>
      </w:r>
      <w:r>
        <w:rPr>
          <w:sz w:val="22"/>
        </w:rPr>
        <w:t>avoce in una grande organizzazione;</w:t>
      </w:r>
    </w:p>
    <w:p w:rsidR="00A73B10" w:rsidRPr="00A73B10" w:rsidRDefault="00577EE9" w:rsidP="00A73B10">
      <w:pPr>
        <w:pStyle w:val="ListBullet1"/>
        <w:spacing w:after="120"/>
        <w:ind w:left="763" w:hanging="288"/>
        <w:rPr>
          <w:rFonts w:cs="Tahoma"/>
          <w:sz w:val="22"/>
          <w:szCs w:val="22"/>
        </w:rPr>
      </w:pPr>
      <w:r>
        <w:rPr>
          <w:sz w:val="22"/>
        </w:rPr>
        <w:t>esperienza nel lavoro di coinvolgimento del personale, compresa la gestione del cambiamento;</w:t>
      </w:r>
    </w:p>
    <w:p w:rsidR="00A73B10" w:rsidRPr="00A73B10" w:rsidRDefault="00577EE9" w:rsidP="00A73B10">
      <w:pPr>
        <w:pStyle w:val="ListBullet1"/>
        <w:spacing w:after="120"/>
        <w:ind w:left="763" w:hanging="288"/>
        <w:rPr>
          <w:rFonts w:cs="Tahoma"/>
          <w:sz w:val="22"/>
          <w:szCs w:val="22"/>
        </w:rPr>
      </w:pPr>
      <w:r>
        <w:rPr>
          <w:sz w:val="22"/>
        </w:rPr>
        <w:t>esperienza manageriale, anche relativamente a questioni legate al personale, alla pianificazione e al bilancio;</w:t>
      </w:r>
    </w:p>
    <w:p w:rsidR="00A73B10" w:rsidRPr="00A73B10" w:rsidRDefault="00577EE9" w:rsidP="00A73B10">
      <w:pPr>
        <w:pStyle w:val="ListBullet1"/>
        <w:spacing w:after="120"/>
        <w:ind w:left="763" w:hanging="288"/>
        <w:rPr>
          <w:rFonts w:cs="Tahoma"/>
          <w:sz w:val="22"/>
          <w:szCs w:val="22"/>
        </w:rPr>
      </w:pPr>
      <w:r>
        <w:rPr>
          <w:sz w:val="22"/>
        </w:rPr>
        <w:t>ottima conoscen</w:t>
      </w:r>
      <w:r>
        <w:rPr>
          <w:sz w:val="22"/>
        </w:rPr>
        <w:t>za dell’inglese, sia scritto che parlato.</w:t>
      </w:r>
    </w:p>
    <w:p w:rsidR="00B9092C" w:rsidRPr="00AA74DE" w:rsidRDefault="00577EE9" w:rsidP="00B9092C">
      <w:pPr>
        <w:spacing w:before="240" w:after="120"/>
        <w:rPr>
          <w:i/>
          <w:color w:val="000000"/>
          <w:sz w:val="22"/>
        </w:rPr>
      </w:pPr>
      <w:r>
        <w:rPr>
          <w:i/>
          <w:color w:val="000000"/>
          <w:sz w:val="22"/>
        </w:rPr>
        <w:t xml:space="preserve">Caratteristiche personali/capacità interpersonali </w:t>
      </w:r>
    </w:p>
    <w:p w:rsidR="00A73B10" w:rsidRPr="00A73B10" w:rsidRDefault="00577EE9" w:rsidP="00A73B10">
      <w:pPr>
        <w:pStyle w:val="ListBullet1"/>
        <w:spacing w:after="120"/>
        <w:ind w:left="763" w:hanging="288"/>
        <w:rPr>
          <w:rFonts w:cs="Tahoma"/>
          <w:sz w:val="22"/>
          <w:szCs w:val="22"/>
        </w:rPr>
      </w:pPr>
      <w:r>
        <w:rPr>
          <w:sz w:val="22"/>
        </w:rPr>
        <w:t>Ottime doti di comunicazione con una forte attitudine a impegnarsi e a mostrare entusiasmo;</w:t>
      </w:r>
    </w:p>
    <w:p w:rsidR="00A73B10" w:rsidRPr="00A73B10" w:rsidRDefault="00577EE9" w:rsidP="00A73B10">
      <w:pPr>
        <w:pStyle w:val="ListBullet1"/>
        <w:spacing w:after="120"/>
        <w:ind w:left="763" w:hanging="288"/>
        <w:rPr>
          <w:rFonts w:cs="Tahoma"/>
          <w:sz w:val="22"/>
          <w:szCs w:val="22"/>
        </w:rPr>
      </w:pPr>
      <w:r>
        <w:rPr>
          <w:sz w:val="22"/>
        </w:rPr>
        <w:t xml:space="preserve">livello elevato di consapevolezza e sensibilità politica; </w:t>
      </w:r>
    </w:p>
    <w:p w:rsidR="00A73B10" w:rsidRPr="00A73B10" w:rsidRDefault="00577EE9" w:rsidP="00A73B10">
      <w:pPr>
        <w:pStyle w:val="ListBullet1"/>
        <w:spacing w:after="120"/>
        <w:ind w:left="763" w:hanging="288"/>
        <w:rPr>
          <w:rFonts w:cs="Tahoma"/>
          <w:sz w:val="22"/>
          <w:szCs w:val="22"/>
        </w:rPr>
      </w:pPr>
      <w:r>
        <w:rPr>
          <w:sz w:val="22"/>
        </w:rPr>
        <w:t>atteggiament</w:t>
      </w:r>
      <w:r>
        <w:rPr>
          <w:sz w:val="22"/>
        </w:rPr>
        <w:t>o proattivo e orientato agli obiettivi;</w:t>
      </w:r>
    </w:p>
    <w:p w:rsidR="00A73B10" w:rsidRPr="00A73B10" w:rsidRDefault="00577EE9" w:rsidP="00A73B10">
      <w:pPr>
        <w:pStyle w:val="ListBullet1"/>
        <w:spacing w:after="120"/>
        <w:ind w:left="763" w:hanging="288"/>
        <w:rPr>
          <w:rFonts w:cs="Tahoma"/>
          <w:sz w:val="22"/>
          <w:szCs w:val="22"/>
        </w:rPr>
      </w:pPr>
      <w:r>
        <w:rPr>
          <w:sz w:val="22"/>
        </w:rPr>
        <w:t>capacità di collaborare come membro di una squadra e di guidare, motivare e favorire lo sviluppo del personale;</w:t>
      </w:r>
    </w:p>
    <w:p w:rsidR="00A73B10" w:rsidRPr="00A73B10" w:rsidRDefault="00577EE9" w:rsidP="00A73B10">
      <w:pPr>
        <w:pStyle w:val="ListBullet1"/>
        <w:spacing w:after="120"/>
        <w:ind w:left="763" w:hanging="288"/>
        <w:rPr>
          <w:rFonts w:cs="Tahoma"/>
          <w:sz w:val="22"/>
          <w:szCs w:val="22"/>
        </w:rPr>
      </w:pPr>
      <w:r>
        <w:rPr>
          <w:sz w:val="22"/>
        </w:rPr>
        <w:t>consapevolezza multiculturale e capacità di lavorare in un contesto internazionale;</w:t>
      </w:r>
    </w:p>
    <w:p w:rsidR="00A73B10" w:rsidRPr="00A73B10" w:rsidRDefault="00577EE9" w:rsidP="00A73B10">
      <w:pPr>
        <w:pStyle w:val="ListBullet1"/>
        <w:spacing w:after="120"/>
        <w:ind w:left="763" w:hanging="288"/>
        <w:rPr>
          <w:rFonts w:cs="Tahoma"/>
          <w:sz w:val="22"/>
          <w:szCs w:val="22"/>
        </w:rPr>
      </w:pPr>
      <w:r>
        <w:rPr>
          <w:sz w:val="22"/>
        </w:rPr>
        <w:t>solide capacità orga</w:t>
      </w:r>
      <w:r>
        <w:rPr>
          <w:sz w:val="22"/>
        </w:rPr>
        <w:t>nizzative, approccio strutturato alle mansioni da svolgere e capacità di definire le priorità.</w:t>
      </w:r>
    </w:p>
    <w:p w:rsidR="00B9092C" w:rsidRPr="00C36BE9" w:rsidRDefault="00577EE9" w:rsidP="00B9092C">
      <w:pPr>
        <w:spacing w:before="240" w:after="120"/>
        <w:rPr>
          <w:i/>
          <w:color w:val="000000"/>
          <w:sz w:val="22"/>
        </w:rPr>
      </w:pPr>
      <w:r>
        <w:rPr>
          <w:i/>
          <w:color w:val="000000"/>
          <w:sz w:val="22"/>
        </w:rPr>
        <w:t>L’Agenzia ha altresì definito esperienze e competenze costituenti titolo preferenziale per il posto, ossia</w:t>
      </w:r>
    </w:p>
    <w:p w:rsidR="00A73B10" w:rsidRPr="00A73B10" w:rsidRDefault="00577EE9" w:rsidP="00A73B10">
      <w:pPr>
        <w:pStyle w:val="ListBullet1"/>
        <w:spacing w:after="120"/>
        <w:ind w:left="763" w:hanging="288"/>
        <w:rPr>
          <w:rFonts w:cs="Tahoma"/>
          <w:sz w:val="22"/>
          <w:szCs w:val="22"/>
        </w:rPr>
      </w:pPr>
      <w:r>
        <w:rPr>
          <w:sz w:val="22"/>
        </w:rPr>
        <w:t xml:space="preserve">esperienza di lavoro nell’ambito della salute </w:t>
      </w:r>
      <w:r>
        <w:rPr>
          <w:sz w:val="22"/>
        </w:rPr>
        <w:t>pubblica.</w:t>
      </w:r>
    </w:p>
    <w:p w:rsidR="00290506" w:rsidRDefault="00290506" w:rsidP="00290506">
      <w:pPr>
        <w:pStyle w:val="ListBullet1"/>
        <w:numPr>
          <w:ilvl w:val="0"/>
          <w:numId w:val="0"/>
        </w:numPr>
        <w:spacing w:after="120"/>
        <w:ind w:left="763"/>
        <w:rPr>
          <w:rFonts w:cs="Tahoma"/>
          <w:sz w:val="22"/>
          <w:szCs w:val="22"/>
        </w:rPr>
      </w:pPr>
    </w:p>
    <w:p w:rsidR="0058357D" w:rsidRDefault="00577EE9" w:rsidP="0058357D">
      <w:pPr>
        <w:spacing w:after="120"/>
        <w:rPr>
          <w:rFonts w:cs="Tahoma"/>
          <w:sz w:val="22"/>
          <w:szCs w:val="22"/>
        </w:rPr>
      </w:pPr>
      <w:r>
        <w:rPr>
          <w:sz w:val="22"/>
        </w:rPr>
        <w:t>In funzione del numero di candidature pervenute, il comitato di selezione si riserva di applicare requisiti più rigorosi nell’ambito dei succitati criteri di selezione o di applicare eventuali titoli preferenziali.</w:t>
      </w:r>
    </w:p>
    <w:p w:rsidR="00775D02" w:rsidRDefault="00775D02" w:rsidP="00B74817">
      <w:pPr>
        <w:autoSpaceDE w:val="0"/>
        <w:autoSpaceDN w:val="0"/>
        <w:adjustRightInd w:val="0"/>
        <w:spacing w:after="120"/>
        <w:rPr>
          <w:rFonts w:cs="Tahoma"/>
          <w:b/>
          <w:color w:val="69AE23"/>
          <w:sz w:val="28"/>
          <w:szCs w:val="28"/>
        </w:rPr>
      </w:pPr>
    </w:p>
    <w:p w:rsidR="005D23DC" w:rsidRPr="00DF4B24" w:rsidRDefault="00577EE9" w:rsidP="00B74817">
      <w:pPr>
        <w:autoSpaceDE w:val="0"/>
        <w:autoSpaceDN w:val="0"/>
        <w:adjustRightInd w:val="0"/>
        <w:spacing w:after="120"/>
        <w:rPr>
          <w:rFonts w:cs="Tahoma"/>
          <w:b/>
          <w:color w:val="69AE23"/>
          <w:sz w:val="28"/>
          <w:szCs w:val="28"/>
        </w:rPr>
      </w:pPr>
      <w:r>
        <w:rPr>
          <w:b/>
          <w:color w:val="69AE23"/>
          <w:sz w:val="28"/>
        </w:rPr>
        <w:t xml:space="preserve">Nomina e condizioni di impiego </w:t>
      </w:r>
    </w:p>
    <w:p w:rsidR="009A37AB" w:rsidRDefault="00577EE9" w:rsidP="00EA609B">
      <w:pPr>
        <w:autoSpaceDE w:val="0"/>
        <w:autoSpaceDN w:val="0"/>
        <w:adjustRightInd w:val="0"/>
        <w:rPr>
          <w:rFonts w:cs="Tahoma"/>
          <w:sz w:val="22"/>
          <w:szCs w:val="22"/>
        </w:rPr>
      </w:pPr>
      <w:r>
        <w:rPr>
          <w:sz w:val="22"/>
        </w:rPr>
        <w:t>Il titolare del posto sarà nominato sulla base di un elenco ristretto proposto dal comitato di selezione al direttore e compilato secondo i criteri di cui al presente avviso di posto vacante. Ai candidati può essere richiest</w:t>
      </w:r>
      <w:r>
        <w:rPr>
          <w:sz w:val="22"/>
        </w:rPr>
        <w:t>o di sottoporsi a prove scritte.</w:t>
      </w:r>
      <w:r>
        <w:t xml:space="preserve"> </w:t>
      </w:r>
      <w:r>
        <w:rPr>
          <w:sz w:val="22"/>
        </w:rPr>
        <w:t xml:space="preserve">Si segnala ai candidati che la proposta del comitato può essere resa pubblica e che l’inserimento nell’elenco ristretto non garantisce l’assunzione. L’elenco ristretto di candidati è istituito a seguito di una procedura di </w:t>
      </w:r>
      <w:r>
        <w:rPr>
          <w:sz w:val="22"/>
        </w:rPr>
        <w:t xml:space="preserve">selezione aperta. </w:t>
      </w:r>
    </w:p>
    <w:p w:rsidR="00EA609B" w:rsidRPr="0037192B" w:rsidRDefault="00577EE9" w:rsidP="00EA609B">
      <w:pPr>
        <w:autoSpaceDE w:val="0"/>
        <w:autoSpaceDN w:val="0"/>
        <w:adjustRightInd w:val="0"/>
        <w:rPr>
          <w:rFonts w:cs="Tahoma"/>
          <w:sz w:val="22"/>
          <w:szCs w:val="22"/>
        </w:rPr>
      </w:pPr>
      <w:r>
        <w:rPr>
          <w:sz w:val="22"/>
        </w:rPr>
        <w:t xml:space="preserve">Il candidato prescelto sarà assunto come agente temporaneo, ai sensi dell’articolo 2, lettera f, del regime applicabile agli altri agenti delle Comunità europee, per un periodo di cinque anni, rinnovabile. L’assunzione avverrà nel grado </w:t>
      </w:r>
      <w:r>
        <w:rPr>
          <w:b/>
          <w:sz w:val="22"/>
        </w:rPr>
        <w:t>AD 8</w:t>
      </w:r>
      <w:r>
        <w:rPr>
          <w:sz w:val="22"/>
        </w:rPr>
        <w:t>.</w:t>
      </w:r>
    </w:p>
    <w:p w:rsidR="005D23DC" w:rsidRPr="00DF4B24" w:rsidRDefault="00577EE9" w:rsidP="005D23DC">
      <w:pPr>
        <w:rPr>
          <w:rFonts w:cs="Tahoma"/>
          <w:sz w:val="22"/>
          <w:szCs w:val="22"/>
        </w:rPr>
      </w:pPr>
      <w:r>
        <w:rPr>
          <w:sz w:val="22"/>
        </w:rPr>
        <w:t>I candidati sono invitati a tenere presente l’obbligo, di cui allo statuto dei funzionari dell’UE, in base al quale ogni nuovo agente deve superare con esito positivo un periodo di prova.</w:t>
      </w:r>
    </w:p>
    <w:p w:rsidR="00D63ACE" w:rsidRDefault="00577EE9" w:rsidP="00F47586">
      <w:pPr>
        <w:keepNext/>
        <w:autoSpaceDE w:val="0"/>
        <w:autoSpaceDN w:val="0"/>
        <w:adjustRightInd w:val="0"/>
        <w:rPr>
          <w:rFonts w:cs="Tahoma"/>
          <w:color w:val="000000"/>
          <w:sz w:val="22"/>
          <w:szCs w:val="22"/>
        </w:rPr>
      </w:pPr>
      <w:r>
        <w:rPr>
          <w:color w:val="000000"/>
          <w:sz w:val="22"/>
        </w:rPr>
        <w:t>Per maggiori informazioni sulle condizioni contrattuali e di l</w:t>
      </w:r>
      <w:r>
        <w:rPr>
          <w:color w:val="000000"/>
          <w:sz w:val="22"/>
        </w:rPr>
        <w:t xml:space="preserve">avoro, si rimanda al regime applicabile agli altri agenti dell’Unione europea, disponibile al seguente link: </w:t>
      </w:r>
    </w:p>
    <w:p w:rsidR="00135C3C" w:rsidRPr="00360670" w:rsidRDefault="00577EE9" w:rsidP="0038505C">
      <w:pPr>
        <w:autoSpaceDE w:val="0"/>
        <w:autoSpaceDN w:val="0"/>
        <w:adjustRightInd w:val="0"/>
        <w:rPr>
          <w:rStyle w:val="Collegamentoipertestuale"/>
          <w:rFonts w:cs="Tahoma"/>
          <w:sz w:val="22"/>
          <w:szCs w:val="22"/>
        </w:rPr>
      </w:pPr>
      <w:hyperlink r:id="rId10" w:history="1">
        <w:r>
          <w:rPr>
            <w:rStyle w:val="Collegamentoipertestuale"/>
            <w:sz w:val="22"/>
          </w:rPr>
          <w:t>http://ecdc.europa.eu/en/aboutus/jobs/Documents/Staff_Regu</w:t>
        </w:r>
        <w:r>
          <w:rPr>
            <w:rStyle w:val="Collegamentoipertestuale"/>
            <w:sz w:val="22"/>
          </w:rPr>
          <w:t>lations_2014.pdf</w:t>
        </w:r>
      </w:hyperlink>
    </w:p>
    <w:p w:rsidR="005D23DC" w:rsidRPr="008636D8" w:rsidRDefault="00577EE9" w:rsidP="005D23DC">
      <w:pPr>
        <w:rPr>
          <w:rFonts w:cs="Tahoma"/>
          <w:sz w:val="22"/>
          <w:szCs w:val="22"/>
        </w:rPr>
      </w:pPr>
      <w:r>
        <w:rPr>
          <w:sz w:val="22"/>
        </w:rPr>
        <w:t xml:space="preserve">La sede di lavoro è Stoccolma, dove il Centro svolge le proprie attività. </w:t>
      </w:r>
    </w:p>
    <w:p w:rsidR="005D23DC" w:rsidRPr="00DF4B24" w:rsidRDefault="00577EE9" w:rsidP="005D23DC">
      <w:pPr>
        <w:autoSpaceDE w:val="0"/>
        <w:autoSpaceDN w:val="0"/>
        <w:adjustRightInd w:val="0"/>
        <w:rPr>
          <w:rFonts w:cs="Tahoma"/>
          <w:b/>
          <w:bCs/>
          <w:color w:val="69AE23"/>
          <w:sz w:val="28"/>
          <w:szCs w:val="28"/>
        </w:rPr>
      </w:pPr>
      <w:r>
        <w:br w:type="page"/>
      </w:r>
      <w:r>
        <w:rPr>
          <w:b/>
          <w:color w:val="69AE23"/>
          <w:sz w:val="28"/>
        </w:rPr>
        <w:t>Elenco di riserva</w:t>
      </w:r>
      <w:bookmarkStart w:id="0" w:name="_GoBack"/>
      <w:bookmarkEnd w:id="0"/>
    </w:p>
    <w:p w:rsidR="008B03DD" w:rsidRPr="00481DCD" w:rsidRDefault="00577EE9" w:rsidP="008B03DD">
      <w:pPr>
        <w:autoSpaceDE w:val="0"/>
        <w:autoSpaceDN w:val="0"/>
        <w:adjustRightInd w:val="0"/>
        <w:rPr>
          <w:rFonts w:cs="Tahoma"/>
          <w:bCs/>
          <w:sz w:val="22"/>
          <w:szCs w:val="22"/>
        </w:rPr>
      </w:pPr>
      <w:r>
        <w:rPr>
          <w:sz w:val="22"/>
        </w:rPr>
        <w:t xml:space="preserve">Potrà essere costituito un elenco di riserva utilizzabile per assunzioni future, nel caso in cui si rendano disponibili posti vacanti analoghi. Detto elenco sarà valido fino al 31 dicembre dello stesso anno in cui scade il termine per le candidature; tale </w:t>
      </w:r>
      <w:r>
        <w:rPr>
          <w:sz w:val="22"/>
        </w:rPr>
        <w:t>validità potrà essere prorogata.</w:t>
      </w:r>
    </w:p>
    <w:p w:rsidR="005D23DC" w:rsidRPr="00DF4B24" w:rsidRDefault="00577EE9" w:rsidP="005D23DC">
      <w:pPr>
        <w:autoSpaceDE w:val="0"/>
        <w:autoSpaceDN w:val="0"/>
        <w:adjustRightInd w:val="0"/>
        <w:rPr>
          <w:rFonts w:cs="Tahoma"/>
          <w:bCs/>
          <w:color w:val="69AE23"/>
          <w:sz w:val="28"/>
          <w:szCs w:val="28"/>
        </w:rPr>
      </w:pPr>
      <w:r>
        <w:rPr>
          <w:b/>
          <w:color w:val="69AE23"/>
          <w:sz w:val="28"/>
        </w:rPr>
        <w:t>Presentazione dell’atto di candidatura</w:t>
      </w:r>
    </w:p>
    <w:p w:rsidR="00B56BB2" w:rsidRDefault="00577EE9" w:rsidP="00B56BB2">
      <w:pPr>
        <w:autoSpaceDE w:val="0"/>
        <w:autoSpaceDN w:val="0"/>
        <w:adjustRightInd w:val="0"/>
        <w:rPr>
          <w:rFonts w:cs="Tahoma"/>
          <w:b/>
          <w:color w:val="000000"/>
          <w:sz w:val="22"/>
          <w:szCs w:val="22"/>
        </w:rPr>
      </w:pPr>
      <w:r>
        <w:rPr>
          <w:b/>
          <w:sz w:val="22"/>
        </w:rPr>
        <w:t xml:space="preserve">Per sottoporre la propria candidatura si prega di inviare la domanda compilata a </w:t>
      </w:r>
      <w:hyperlink r:id="rId11" w:history="1">
        <w:r>
          <w:rPr>
            <w:rStyle w:val="Collegamentoipertestuale"/>
            <w:b/>
            <w:sz w:val="22"/>
          </w:rPr>
          <w:t>Recruitment@ecdc.europa.eu</w:t>
        </w:r>
      </w:hyperlink>
      <w:r>
        <w:rPr>
          <w:b/>
          <w:sz w:val="22"/>
        </w:rPr>
        <w:t xml:space="preserve"> indicando chiaramente il r</w:t>
      </w:r>
      <w:r>
        <w:rPr>
          <w:b/>
          <w:sz w:val="22"/>
        </w:rPr>
        <w:t>iferimento del posto vacante e il proprio cognome nell’oggetto del messaggio di posta elettronica.</w:t>
      </w:r>
    </w:p>
    <w:p w:rsidR="00DA6B97" w:rsidRDefault="00577EE9" w:rsidP="00DA6B97">
      <w:pPr>
        <w:autoSpaceDE w:val="0"/>
        <w:autoSpaceDN w:val="0"/>
        <w:adjustRightInd w:val="0"/>
        <w:rPr>
          <w:rFonts w:cs="Tahoma"/>
          <w:b/>
          <w:color w:val="000000"/>
          <w:sz w:val="22"/>
          <w:szCs w:val="22"/>
        </w:rPr>
      </w:pPr>
      <w:r>
        <w:rPr>
          <w:b/>
          <w:color w:val="000000"/>
          <w:sz w:val="22"/>
        </w:rPr>
        <w:t xml:space="preserve">Affinché la candidatura sia considerata valida è necessario compilare tutte le sezioni obbligatorie del modulo, che deve essere presentato in formato Word o </w:t>
      </w:r>
      <w:r>
        <w:rPr>
          <w:b/>
          <w:color w:val="000000"/>
          <w:sz w:val="22"/>
        </w:rPr>
        <w:t>PDF, preferibilmente in inglese</w:t>
      </w:r>
      <w:r>
        <w:rPr>
          <w:rStyle w:val="Rimandonotaapidipagina"/>
          <w:b/>
          <w:color w:val="000000"/>
          <w:sz w:val="22"/>
        </w:rPr>
        <w:footnoteReference w:id="5"/>
      </w:r>
      <w:r>
        <w:rPr>
          <w:b/>
          <w:color w:val="000000"/>
          <w:sz w:val="22"/>
        </w:rPr>
        <w:t xml:space="preserve">. </w:t>
      </w:r>
      <w:r>
        <w:rPr>
          <w:b/>
          <w:sz w:val="22"/>
        </w:rPr>
        <w:t>Le candidature incomplete sono considerate nulle.</w:t>
      </w:r>
    </w:p>
    <w:p w:rsidR="00FF54B3" w:rsidRDefault="00577EE9" w:rsidP="00FF54B3">
      <w:pPr>
        <w:autoSpaceDE w:val="0"/>
        <w:autoSpaceDN w:val="0"/>
        <w:adjustRightInd w:val="0"/>
        <w:spacing w:after="0"/>
        <w:rPr>
          <w:rFonts w:cs="Tahoma"/>
          <w:b/>
          <w:color w:val="000000"/>
          <w:sz w:val="22"/>
          <w:szCs w:val="22"/>
        </w:rPr>
      </w:pPr>
      <w:r>
        <w:rPr>
          <w:b/>
          <w:color w:val="000000"/>
          <w:sz w:val="22"/>
        </w:rPr>
        <w:t>Il modulo di candidatura dell’ECDC è disponibile sul sito Internet dell’Agenzia all’indirizzo</w:t>
      </w:r>
    </w:p>
    <w:p w:rsidR="00FF54B3" w:rsidRDefault="00577EE9" w:rsidP="00FF54B3">
      <w:pPr>
        <w:autoSpaceDE w:val="0"/>
        <w:autoSpaceDN w:val="0"/>
        <w:adjustRightInd w:val="0"/>
        <w:rPr>
          <w:rFonts w:cs="Tahoma"/>
          <w:b/>
          <w:sz w:val="22"/>
          <w:szCs w:val="22"/>
        </w:rPr>
      </w:pPr>
      <w:hyperlink r:id="rId12" w:history="1">
        <w:r>
          <w:rPr>
            <w:rStyle w:val="Collegamentoipertestuale"/>
            <w:b/>
            <w:sz w:val="22"/>
          </w:rPr>
          <w:t>ht</w:t>
        </w:r>
        <w:r>
          <w:rPr>
            <w:rStyle w:val="Collegamentoipertestuale"/>
            <w:b/>
            <w:sz w:val="22"/>
          </w:rPr>
          <w:t>tps://ecdc.europa.eu/en/about-us/work-us/recruitment-process</w:t>
        </w:r>
      </w:hyperlink>
    </w:p>
    <w:p w:rsidR="006450FC" w:rsidRPr="00A5713B" w:rsidRDefault="00577EE9" w:rsidP="00FF54B3">
      <w:pPr>
        <w:autoSpaceDE w:val="0"/>
        <w:autoSpaceDN w:val="0"/>
        <w:adjustRightInd w:val="0"/>
        <w:rPr>
          <w:rFonts w:cs="Tahoma"/>
          <w:bCs/>
          <w:sz w:val="22"/>
          <w:szCs w:val="22"/>
        </w:rPr>
      </w:pPr>
      <w:r>
        <w:rPr>
          <w:sz w:val="22"/>
        </w:rPr>
        <w:t xml:space="preserve">Il termine per la presentazione delle candidature e ulteriori informazioni relative allo stato di avanzamento della presente procedura di selezione nonché informazioni importanti riguardanti </w:t>
      </w:r>
      <w:r>
        <w:rPr>
          <w:sz w:val="22"/>
        </w:rPr>
        <w:t xml:space="preserve">il processo di assunzione sono reperibili nel sito web del Centro al link sopra riportato. </w:t>
      </w:r>
    </w:p>
    <w:p w:rsidR="00E85BA7" w:rsidRDefault="00577EE9" w:rsidP="00B56BB2">
      <w:pPr>
        <w:autoSpaceDE w:val="0"/>
        <w:autoSpaceDN w:val="0"/>
        <w:adjustRightInd w:val="0"/>
        <w:rPr>
          <w:rFonts w:cs="Tahoma"/>
          <w:bCs/>
          <w:color w:val="000000"/>
          <w:sz w:val="22"/>
          <w:szCs w:val="22"/>
        </w:rPr>
      </w:pPr>
      <w:r>
        <w:rPr>
          <w:color w:val="000000"/>
          <w:sz w:val="22"/>
        </w:rPr>
        <w:t xml:space="preserve">In considerazione dell’elevato numero di candidature pervenute, solo i candidati selezionati per il colloquio saranno contattati. </w:t>
      </w:r>
    </w:p>
    <w:p w:rsidR="00987962" w:rsidRDefault="00987962" w:rsidP="00987962">
      <w:pPr>
        <w:spacing w:before="60" w:afterLines="60" w:after="144"/>
        <w:rPr>
          <w:rFonts w:cs="Tahoma"/>
          <w:b/>
          <w:color w:val="69AE23"/>
          <w:sz w:val="28"/>
          <w:szCs w:val="28"/>
        </w:rPr>
      </w:pPr>
    </w:p>
    <w:sectPr w:rsidR="00987962" w:rsidSect="00A2026B">
      <w:footerReference w:type="default" r:id="rId13"/>
      <w:headerReference w:type="first" r:id="rId14"/>
      <w:pgSz w:w="11906" w:h="16838"/>
      <w:pgMar w:top="1247" w:right="1418" w:bottom="1418" w:left="124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77EE9">
      <w:pPr>
        <w:spacing w:after="0" w:line="240" w:lineRule="auto"/>
      </w:pPr>
      <w:r>
        <w:separator/>
      </w:r>
    </w:p>
  </w:endnote>
  <w:endnote w:type="continuationSeparator" w:id="0">
    <w:p w:rsidR="00000000" w:rsidRDefault="00577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A5C" w:rsidRDefault="00577EE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rsidR="00E47A5C" w:rsidRDefault="00E47A5C" w:rsidP="00253047">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3CE" w:rsidRDefault="00577EE9">
      <w:r>
        <w:separator/>
      </w:r>
    </w:p>
  </w:footnote>
  <w:footnote w:type="continuationSeparator" w:id="0">
    <w:p w:rsidR="009E53CE" w:rsidRDefault="00577EE9">
      <w:r>
        <w:continuationSeparator/>
      </w:r>
    </w:p>
  </w:footnote>
  <w:footnote w:id="1">
    <w:p w:rsidR="00E47A5C" w:rsidRDefault="00577EE9" w:rsidP="0086677C">
      <w:pPr>
        <w:pStyle w:val="Testonotaapidipagina"/>
        <w:ind w:left="142" w:hanging="142"/>
      </w:pPr>
      <w:r>
        <w:rPr>
          <w:rStyle w:val="Rimandonotaapidipagina"/>
        </w:rPr>
        <w:footnoteRef/>
      </w:r>
      <w:r>
        <w:t xml:space="preserve"> Sono presi in considerazione solo i diplomi e certificati conseguiti negli Stati membri dell’UE o provvisti di certificati di equivalenza rilasciati dalle autorità di </w:t>
      </w:r>
      <w:r>
        <w:t>detti Stati membri.</w:t>
      </w:r>
    </w:p>
  </w:footnote>
  <w:footnote w:id="2">
    <w:p w:rsidR="00E47A5C" w:rsidRDefault="00577EE9">
      <w:pPr>
        <w:pStyle w:val="Testonotaapidipagina"/>
      </w:pPr>
      <w:r>
        <w:rPr>
          <w:rStyle w:val="Rimandonotaapidipagina"/>
        </w:rPr>
        <w:footnoteRef/>
      </w:r>
      <w:r>
        <w:t xml:space="preserve"> Il servizio militare obbligatorio è sempre preso in considerazione. </w:t>
      </w:r>
    </w:p>
  </w:footnote>
  <w:footnote w:id="3">
    <w:p w:rsidR="003B58FA" w:rsidRPr="003B58FA" w:rsidRDefault="00577EE9" w:rsidP="003B58FA">
      <w:pPr>
        <w:spacing w:after="0"/>
        <w:rPr>
          <w:rFonts w:eastAsiaTheme="minorHAnsi" w:cs="Tahoma"/>
          <w:szCs w:val="16"/>
          <w:lang w:val="en-US"/>
        </w:rPr>
      </w:pPr>
      <w:r>
        <w:rPr>
          <w:rStyle w:val="Rimandonotaapidipagina"/>
        </w:rPr>
        <w:footnoteRef/>
      </w:r>
      <w:r>
        <w:t xml:space="preserve"> Inoltre, al fine di poter beneficiare di una promozione nell’ambito dell’esercizio di promozione annuale, i membri del personale devono avere una conoscenza di una</w:t>
      </w:r>
      <w:r>
        <w:t xml:space="preserve"> terza lingua dell’UE che permetta loro di lavorare in tale lingua, come specificato nello statuto dei funzionari e nelle relative modalità di esecuzione.</w:t>
      </w:r>
    </w:p>
    <w:p w:rsidR="003B58FA" w:rsidRDefault="003B58FA" w:rsidP="003B58FA">
      <w:pPr>
        <w:pStyle w:val="Testonotaapidipagina"/>
        <w:spacing w:after="0"/>
      </w:pPr>
    </w:p>
  </w:footnote>
  <w:footnote w:id="4">
    <w:p w:rsidR="003B58FA" w:rsidRPr="003B58FA" w:rsidRDefault="00577EE9" w:rsidP="003B58FA">
      <w:pPr>
        <w:spacing w:after="0"/>
        <w:rPr>
          <w:rFonts w:asciiTheme="minorHAnsi" w:eastAsiaTheme="minorHAnsi" w:hAnsiTheme="minorHAnsi" w:cstheme="minorBidi"/>
          <w:sz w:val="22"/>
          <w:szCs w:val="22"/>
          <w:lang w:val="en-US"/>
        </w:rPr>
      </w:pPr>
      <w:r>
        <w:rPr>
          <w:rStyle w:val="Rimandonotaapidipagina"/>
        </w:rPr>
        <w:footnoteRef/>
      </w:r>
      <w:r>
        <w:rPr>
          <w:rStyle w:val="Rimandonotaapidipagina"/>
        </w:rPr>
        <w:t xml:space="preserve"> </w:t>
      </w:r>
      <w:r>
        <w:t>Prima della nomina, il candidato prescelto dovrà produrre un certificato del casellario giudiziale</w:t>
      </w:r>
      <w:r>
        <w:t xml:space="preserve"> comprovante l’assenza di provvedimenti di condanna.</w:t>
      </w:r>
    </w:p>
    <w:p w:rsidR="003B58FA" w:rsidRDefault="003B58FA">
      <w:pPr>
        <w:pStyle w:val="Testonotaapidipagina"/>
      </w:pPr>
    </w:p>
  </w:footnote>
  <w:footnote w:id="5">
    <w:p w:rsidR="00DA6B97" w:rsidRDefault="00577EE9" w:rsidP="00DA6B97">
      <w:pPr>
        <w:pStyle w:val="Testonotaapidipagina"/>
        <w:ind w:left="142" w:hanging="142"/>
        <w:rPr>
          <w:rFonts w:cs="Tahoma"/>
        </w:rPr>
      </w:pPr>
      <w:r>
        <w:rPr>
          <w:rStyle w:val="Rimandonotaapidipagina"/>
        </w:rPr>
        <w:footnoteRef/>
      </w:r>
      <w:r>
        <w:t xml:space="preserve"> Il presente avviso di posto vacante è stato tradotto dall’originale inglese in tutte le lingue ufficiali dell’UE. Poiché la lingua di lavoro quotidiana dell’Agenzia è l’inglese, l’ECDC preferisce </w:t>
      </w:r>
      <w:r>
        <w:t>ricevere le candidature in inglese.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A5C" w:rsidRDefault="00E47A5C">
    <w:pPr>
      <w:pStyle w:val="Intestazion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26DE4"/>
    <w:multiLevelType w:val="hybridMultilevel"/>
    <w:tmpl w:val="3A0A1484"/>
    <w:lvl w:ilvl="0" w:tplc="57D84E06">
      <w:start w:val="1"/>
      <w:numFmt w:val="bullet"/>
      <w:lvlText w:val=""/>
      <w:lvlJc w:val="left"/>
      <w:pPr>
        <w:ind w:left="720" w:hanging="360"/>
      </w:pPr>
      <w:rPr>
        <w:rFonts w:ascii="Symbol" w:hAnsi="Symbol" w:hint="default"/>
      </w:rPr>
    </w:lvl>
    <w:lvl w:ilvl="1" w:tplc="94D2DE40">
      <w:start w:val="1"/>
      <w:numFmt w:val="decimal"/>
      <w:lvlText w:val="%2."/>
      <w:lvlJc w:val="left"/>
      <w:pPr>
        <w:tabs>
          <w:tab w:val="num" w:pos="1440"/>
        </w:tabs>
        <w:ind w:left="1440" w:hanging="360"/>
      </w:pPr>
    </w:lvl>
    <w:lvl w:ilvl="2" w:tplc="F4B21598">
      <w:start w:val="1"/>
      <w:numFmt w:val="decimal"/>
      <w:lvlText w:val="%3."/>
      <w:lvlJc w:val="left"/>
      <w:pPr>
        <w:tabs>
          <w:tab w:val="num" w:pos="2160"/>
        </w:tabs>
        <w:ind w:left="2160" w:hanging="360"/>
      </w:pPr>
    </w:lvl>
    <w:lvl w:ilvl="3" w:tplc="D3BC90CE">
      <w:start w:val="1"/>
      <w:numFmt w:val="decimal"/>
      <w:lvlText w:val="%4."/>
      <w:lvlJc w:val="left"/>
      <w:pPr>
        <w:tabs>
          <w:tab w:val="num" w:pos="2880"/>
        </w:tabs>
        <w:ind w:left="2880" w:hanging="360"/>
      </w:pPr>
    </w:lvl>
    <w:lvl w:ilvl="4" w:tplc="D3283FF2">
      <w:start w:val="1"/>
      <w:numFmt w:val="decimal"/>
      <w:lvlText w:val="%5."/>
      <w:lvlJc w:val="left"/>
      <w:pPr>
        <w:tabs>
          <w:tab w:val="num" w:pos="3600"/>
        </w:tabs>
        <w:ind w:left="3600" w:hanging="360"/>
      </w:pPr>
    </w:lvl>
    <w:lvl w:ilvl="5" w:tplc="714ABA04">
      <w:start w:val="1"/>
      <w:numFmt w:val="decimal"/>
      <w:lvlText w:val="%6."/>
      <w:lvlJc w:val="left"/>
      <w:pPr>
        <w:tabs>
          <w:tab w:val="num" w:pos="4320"/>
        </w:tabs>
        <w:ind w:left="4320" w:hanging="360"/>
      </w:pPr>
    </w:lvl>
    <w:lvl w:ilvl="6" w:tplc="D436D5FA">
      <w:start w:val="1"/>
      <w:numFmt w:val="decimal"/>
      <w:lvlText w:val="%7."/>
      <w:lvlJc w:val="left"/>
      <w:pPr>
        <w:tabs>
          <w:tab w:val="num" w:pos="5040"/>
        </w:tabs>
        <w:ind w:left="5040" w:hanging="360"/>
      </w:pPr>
    </w:lvl>
    <w:lvl w:ilvl="7" w:tplc="8ED4C7D6">
      <w:start w:val="1"/>
      <w:numFmt w:val="decimal"/>
      <w:lvlText w:val="%8."/>
      <w:lvlJc w:val="left"/>
      <w:pPr>
        <w:tabs>
          <w:tab w:val="num" w:pos="5760"/>
        </w:tabs>
        <w:ind w:left="5760" w:hanging="360"/>
      </w:pPr>
    </w:lvl>
    <w:lvl w:ilvl="8" w:tplc="DC728AD2">
      <w:start w:val="1"/>
      <w:numFmt w:val="decimal"/>
      <w:lvlText w:val="%9."/>
      <w:lvlJc w:val="left"/>
      <w:pPr>
        <w:tabs>
          <w:tab w:val="num" w:pos="6480"/>
        </w:tabs>
        <w:ind w:left="6480" w:hanging="360"/>
      </w:pPr>
    </w:lvl>
  </w:abstractNum>
  <w:abstractNum w:abstractNumId="1" w15:restartNumberingAfterBreak="0">
    <w:nsid w:val="1345769E"/>
    <w:multiLevelType w:val="hybridMultilevel"/>
    <w:tmpl w:val="D4484584"/>
    <w:lvl w:ilvl="0" w:tplc="F6606C5C">
      <w:start w:val="1"/>
      <w:numFmt w:val="decimal"/>
      <w:lvlText w:val="%1."/>
      <w:lvlJc w:val="left"/>
      <w:pPr>
        <w:ind w:left="720" w:hanging="360"/>
      </w:pPr>
    </w:lvl>
    <w:lvl w:ilvl="1" w:tplc="6BE0F8A4" w:tentative="1">
      <w:start w:val="1"/>
      <w:numFmt w:val="lowerLetter"/>
      <w:lvlText w:val="%2."/>
      <w:lvlJc w:val="left"/>
      <w:pPr>
        <w:ind w:left="1440" w:hanging="360"/>
      </w:pPr>
    </w:lvl>
    <w:lvl w:ilvl="2" w:tplc="347E288A" w:tentative="1">
      <w:start w:val="1"/>
      <w:numFmt w:val="lowerRoman"/>
      <w:lvlText w:val="%3."/>
      <w:lvlJc w:val="right"/>
      <w:pPr>
        <w:ind w:left="2160" w:hanging="180"/>
      </w:pPr>
    </w:lvl>
    <w:lvl w:ilvl="3" w:tplc="83DC29FE" w:tentative="1">
      <w:start w:val="1"/>
      <w:numFmt w:val="decimal"/>
      <w:lvlText w:val="%4."/>
      <w:lvlJc w:val="left"/>
      <w:pPr>
        <w:ind w:left="2880" w:hanging="360"/>
      </w:pPr>
    </w:lvl>
    <w:lvl w:ilvl="4" w:tplc="42E6E692" w:tentative="1">
      <w:start w:val="1"/>
      <w:numFmt w:val="lowerLetter"/>
      <w:lvlText w:val="%5."/>
      <w:lvlJc w:val="left"/>
      <w:pPr>
        <w:ind w:left="3600" w:hanging="360"/>
      </w:pPr>
    </w:lvl>
    <w:lvl w:ilvl="5" w:tplc="0CC2AB9A" w:tentative="1">
      <w:start w:val="1"/>
      <w:numFmt w:val="lowerRoman"/>
      <w:lvlText w:val="%6."/>
      <w:lvlJc w:val="right"/>
      <w:pPr>
        <w:ind w:left="4320" w:hanging="180"/>
      </w:pPr>
    </w:lvl>
    <w:lvl w:ilvl="6" w:tplc="D89449E2" w:tentative="1">
      <w:start w:val="1"/>
      <w:numFmt w:val="decimal"/>
      <w:lvlText w:val="%7."/>
      <w:lvlJc w:val="left"/>
      <w:pPr>
        <w:ind w:left="5040" w:hanging="360"/>
      </w:pPr>
    </w:lvl>
    <w:lvl w:ilvl="7" w:tplc="BC047102" w:tentative="1">
      <w:start w:val="1"/>
      <w:numFmt w:val="lowerLetter"/>
      <w:lvlText w:val="%8."/>
      <w:lvlJc w:val="left"/>
      <w:pPr>
        <w:ind w:left="5760" w:hanging="360"/>
      </w:pPr>
    </w:lvl>
    <w:lvl w:ilvl="8" w:tplc="D548AD1A" w:tentative="1">
      <w:start w:val="1"/>
      <w:numFmt w:val="lowerRoman"/>
      <w:lvlText w:val="%9."/>
      <w:lvlJc w:val="right"/>
      <w:pPr>
        <w:ind w:left="6480" w:hanging="180"/>
      </w:pPr>
    </w:lvl>
  </w:abstractNum>
  <w:abstractNum w:abstractNumId="2" w15:restartNumberingAfterBreak="0">
    <w:nsid w:val="15C44762"/>
    <w:multiLevelType w:val="hybridMultilevel"/>
    <w:tmpl w:val="913E70CC"/>
    <w:lvl w:ilvl="0" w:tplc="75A232F0">
      <w:start w:val="1"/>
      <w:numFmt w:val="bullet"/>
      <w:lvlText w:val=""/>
      <w:lvlJc w:val="left"/>
      <w:pPr>
        <w:ind w:left="720" w:hanging="360"/>
      </w:pPr>
      <w:rPr>
        <w:rFonts w:ascii="Symbol" w:hAnsi="Symbol" w:hint="default"/>
      </w:rPr>
    </w:lvl>
    <w:lvl w:ilvl="1" w:tplc="7D9E9D14">
      <w:start w:val="1"/>
      <w:numFmt w:val="bullet"/>
      <w:lvlText w:val="o"/>
      <w:lvlJc w:val="left"/>
      <w:pPr>
        <w:ind w:left="1440" w:hanging="360"/>
      </w:pPr>
      <w:rPr>
        <w:rFonts w:ascii="Courier New" w:hAnsi="Courier New" w:cs="Courier New" w:hint="default"/>
      </w:rPr>
    </w:lvl>
    <w:lvl w:ilvl="2" w:tplc="73760C12">
      <w:start w:val="1"/>
      <w:numFmt w:val="bullet"/>
      <w:lvlText w:val=""/>
      <w:lvlJc w:val="left"/>
      <w:pPr>
        <w:ind w:left="2160" w:hanging="360"/>
      </w:pPr>
      <w:rPr>
        <w:rFonts w:ascii="Wingdings" w:hAnsi="Wingdings" w:hint="default"/>
      </w:rPr>
    </w:lvl>
    <w:lvl w:ilvl="3" w:tplc="8E6C46E0">
      <w:start w:val="1"/>
      <w:numFmt w:val="bullet"/>
      <w:lvlText w:val=""/>
      <w:lvlJc w:val="left"/>
      <w:pPr>
        <w:ind w:left="2880" w:hanging="360"/>
      </w:pPr>
      <w:rPr>
        <w:rFonts w:ascii="Symbol" w:hAnsi="Symbol" w:hint="default"/>
      </w:rPr>
    </w:lvl>
    <w:lvl w:ilvl="4" w:tplc="6E2625F6">
      <w:start w:val="1"/>
      <w:numFmt w:val="bullet"/>
      <w:lvlText w:val="o"/>
      <w:lvlJc w:val="left"/>
      <w:pPr>
        <w:ind w:left="3600" w:hanging="360"/>
      </w:pPr>
      <w:rPr>
        <w:rFonts w:ascii="Courier New" w:hAnsi="Courier New" w:cs="Courier New" w:hint="default"/>
      </w:rPr>
    </w:lvl>
    <w:lvl w:ilvl="5" w:tplc="AA96B7AC">
      <w:start w:val="1"/>
      <w:numFmt w:val="bullet"/>
      <w:lvlText w:val=""/>
      <w:lvlJc w:val="left"/>
      <w:pPr>
        <w:ind w:left="4320" w:hanging="360"/>
      </w:pPr>
      <w:rPr>
        <w:rFonts w:ascii="Wingdings" w:hAnsi="Wingdings" w:hint="default"/>
      </w:rPr>
    </w:lvl>
    <w:lvl w:ilvl="6" w:tplc="EEB2C6AE">
      <w:start w:val="1"/>
      <w:numFmt w:val="bullet"/>
      <w:lvlText w:val=""/>
      <w:lvlJc w:val="left"/>
      <w:pPr>
        <w:ind w:left="5040" w:hanging="360"/>
      </w:pPr>
      <w:rPr>
        <w:rFonts w:ascii="Symbol" w:hAnsi="Symbol" w:hint="default"/>
      </w:rPr>
    </w:lvl>
    <w:lvl w:ilvl="7" w:tplc="834EE6F4">
      <w:start w:val="1"/>
      <w:numFmt w:val="bullet"/>
      <w:lvlText w:val="o"/>
      <w:lvlJc w:val="left"/>
      <w:pPr>
        <w:ind w:left="5760" w:hanging="360"/>
      </w:pPr>
      <w:rPr>
        <w:rFonts w:ascii="Courier New" w:hAnsi="Courier New" w:cs="Courier New" w:hint="default"/>
      </w:rPr>
    </w:lvl>
    <w:lvl w:ilvl="8" w:tplc="C67C2382">
      <w:start w:val="1"/>
      <w:numFmt w:val="bullet"/>
      <w:lvlText w:val=""/>
      <w:lvlJc w:val="left"/>
      <w:pPr>
        <w:ind w:left="6480" w:hanging="360"/>
      </w:pPr>
      <w:rPr>
        <w:rFonts w:ascii="Wingdings" w:hAnsi="Wingdings" w:hint="default"/>
      </w:rPr>
    </w:lvl>
  </w:abstractNum>
  <w:abstractNum w:abstractNumId="3" w15:restartNumberingAfterBreak="0">
    <w:nsid w:val="1A543DD4"/>
    <w:multiLevelType w:val="hybridMultilevel"/>
    <w:tmpl w:val="4E64C32C"/>
    <w:lvl w:ilvl="0" w:tplc="F24C0468">
      <w:start w:val="1"/>
      <w:numFmt w:val="bullet"/>
      <w:lvlText w:val=""/>
      <w:lvlJc w:val="left"/>
      <w:pPr>
        <w:ind w:left="720" w:hanging="360"/>
      </w:pPr>
      <w:rPr>
        <w:rFonts w:ascii="Symbol" w:hAnsi="Symbol" w:hint="default"/>
      </w:rPr>
    </w:lvl>
    <w:lvl w:ilvl="1" w:tplc="75D8551E">
      <w:start w:val="1"/>
      <w:numFmt w:val="bullet"/>
      <w:lvlText w:val="o"/>
      <w:lvlJc w:val="left"/>
      <w:pPr>
        <w:ind w:left="1440" w:hanging="360"/>
      </w:pPr>
      <w:rPr>
        <w:rFonts w:ascii="Courier New" w:hAnsi="Courier New" w:cs="Courier New" w:hint="default"/>
      </w:rPr>
    </w:lvl>
    <w:lvl w:ilvl="2" w:tplc="E174D29E">
      <w:start w:val="1"/>
      <w:numFmt w:val="bullet"/>
      <w:lvlText w:val=""/>
      <w:lvlJc w:val="left"/>
      <w:pPr>
        <w:ind w:left="2160" w:hanging="360"/>
      </w:pPr>
      <w:rPr>
        <w:rFonts w:ascii="Wingdings" w:hAnsi="Wingdings" w:hint="default"/>
      </w:rPr>
    </w:lvl>
    <w:lvl w:ilvl="3" w:tplc="B41AF766">
      <w:start w:val="1"/>
      <w:numFmt w:val="bullet"/>
      <w:lvlText w:val=""/>
      <w:lvlJc w:val="left"/>
      <w:pPr>
        <w:ind w:left="2880" w:hanging="360"/>
      </w:pPr>
      <w:rPr>
        <w:rFonts w:ascii="Symbol" w:hAnsi="Symbol" w:hint="default"/>
      </w:rPr>
    </w:lvl>
    <w:lvl w:ilvl="4" w:tplc="865C0FAC">
      <w:start w:val="1"/>
      <w:numFmt w:val="bullet"/>
      <w:lvlText w:val="o"/>
      <w:lvlJc w:val="left"/>
      <w:pPr>
        <w:ind w:left="3600" w:hanging="360"/>
      </w:pPr>
      <w:rPr>
        <w:rFonts w:ascii="Courier New" w:hAnsi="Courier New" w:cs="Courier New" w:hint="default"/>
      </w:rPr>
    </w:lvl>
    <w:lvl w:ilvl="5" w:tplc="BFE440C2">
      <w:start w:val="1"/>
      <w:numFmt w:val="bullet"/>
      <w:lvlText w:val=""/>
      <w:lvlJc w:val="left"/>
      <w:pPr>
        <w:ind w:left="4320" w:hanging="360"/>
      </w:pPr>
      <w:rPr>
        <w:rFonts w:ascii="Wingdings" w:hAnsi="Wingdings" w:hint="default"/>
      </w:rPr>
    </w:lvl>
    <w:lvl w:ilvl="6" w:tplc="A9188E34">
      <w:start w:val="1"/>
      <w:numFmt w:val="bullet"/>
      <w:lvlText w:val=""/>
      <w:lvlJc w:val="left"/>
      <w:pPr>
        <w:ind w:left="5040" w:hanging="360"/>
      </w:pPr>
      <w:rPr>
        <w:rFonts w:ascii="Symbol" w:hAnsi="Symbol" w:hint="default"/>
      </w:rPr>
    </w:lvl>
    <w:lvl w:ilvl="7" w:tplc="D92029FC">
      <w:start w:val="1"/>
      <w:numFmt w:val="bullet"/>
      <w:lvlText w:val="o"/>
      <w:lvlJc w:val="left"/>
      <w:pPr>
        <w:ind w:left="5760" w:hanging="360"/>
      </w:pPr>
      <w:rPr>
        <w:rFonts w:ascii="Courier New" w:hAnsi="Courier New" w:cs="Courier New" w:hint="default"/>
      </w:rPr>
    </w:lvl>
    <w:lvl w:ilvl="8" w:tplc="1D22261E">
      <w:start w:val="1"/>
      <w:numFmt w:val="bullet"/>
      <w:lvlText w:val=""/>
      <w:lvlJc w:val="left"/>
      <w:pPr>
        <w:ind w:left="6480" w:hanging="360"/>
      </w:pPr>
      <w:rPr>
        <w:rFonts w:ascii="Wingdings" w:hAnsi="Wingdings" w:hint="default"/>
      </w:rPr>
    </w:lvl>
  </w:abstractNum>
  <w:abstractNum w:abstractNumId="4" w15:restartNumberingAfterBreak="0">
    <w:nsid w:val="20837760"/>
    <w:multiLevelType w:val="hybridMultilevel"/>
    <w:tmpl w:val="E7983D1E"/>
    <w:lvl w:ilvl="0" w:tplc="0EE246B6">
      <w:start w:val="1"/>
      <w:numFmt w:val="upperLetter"/>
      <w:lvlText w:val="%1."/>
      <w:lvlJc w:val="left"/>
      <w:pPr>
        <w:tabs>
          <w:tab w:val="num" w:pos="840"/>
        </w:tabs>
        <w:ind w:left="840" w:hanging="360"/>
      </w:pPr>
      <w:rPr>
        <w:rFonts w:hint="default"/>
      </w:rPr>
    </w:lvl>
    <w:lvl w:ilvl="1" w:tplc="3C5C0D5A" w:tentative="1">
      <w:start w:val="1"/>
      <w:numFmt w:val="lowerLetter"/>
      <w:lvlText w:val="%2."/>
      <w:lvlJc w:val="left"/>
      <w:pPr>
        <w:tabs>
          <w:tab w:val="num" w:pos="1560"/>
        </w:tabs>
        <w:ind w:left="1560" w:hanging="360"/>
      </w:pPr>
    </w:lvl>
    <w:lvl w:ilvl="2" w:tplc="B03EB0CC" w:tentative="1">
      <w:start w:val="1"/>
      <w:numFmt w:val="lowerRoman"/>
      <w:lvlText w:val="%3."/>
      <w:lvlJc w:val="right"/>
      <w:pPr>
        <w:tabs>
          <w:tab w:val="num" w:pos="2280"/>
        </w:tabs>
        <w:ind w:left="2280" w:hanging="180"/>
      </w:pPr>
    </w:lvl>
    <w:lvl w:ilvl="3" w:tplc="1FB84252" w:tentative="1">
      <w:start w:val="1"/>
      <w:numFmt w:val="decimal"/>
      <w:lvlText w:val="%4."/>
      <w:lvlJc w:val="left"/>
      <w:pPr>
        <w:tabs>
          <w:tab w:val="num" w:pos="3000"/>
        </w:tabs>
        <w:ind w:left="3000" w:hanging="360"/>
      </w:pPr>
    </w:lvl>
    <w:lvl w:ilvl="4" w:tplc="CAA494B0" w:tentative="1">
      <w:start w:val="1"/>
      <w:numFmt w:val="lowerLetter"/>
      <w:lvlText w:val="%5."/>
      <w:lvlJc w:val="left"/>
      <w:pPr>
        <w:tabs>
          <w:tab w:val="num" w:pos="3720"/>
        </w:tabs>
        <w:ind w:left="3720" w:hanging="360"/>
      </w:pPr>
    </w:lvl>
    <w:lvl w:ilvl="5" w:tplc="CC30DEFA" w:tentative="1">
      <w:start w:val="1"/>
      <w:numFmt w:val="lowerRoman"/>
      <w:lvlText w:val="%6."/>
      <w:lvlJc w:val="right"/>
      <w:pPr>
        <w:tabs>
          <w:tab w:val="num" w:pos="4440"/>
        </w:tabs>
        <w:ind w:left="4440" w:hanging="180"/>
      </w:pPr>
    </w:lvl>
    <w:lvl w:ilvl="6" w:tplc="98FC7D68" w:tentative="1">
      <w:start w:val="1"/>
      <w:numFmt w:val="decimal"/>
      <w:lvlText w:val="%7."/>
      <w:lvlJc w:val="left"/>
      <w:pPr>
        <w:tabs>
          <w:tab w:val="num" w:pos="5160"/>
        </w:tabs>
        <w:ind w:left="5160" w:hanging="360"/>
      </w:pPr>
    </w:lvl>
    <w:lvl w:ilvl="7" w:tplc="72E2B716" w:tentative="1">
      <w:start w:val="1"/>
      <w:numFmt w:val="lowerLetter"/>
      <w:lvlText w:val="%8."/>
      <w:lvlJc w:val="left"/>
      <w:pPr>
        <w:tabs>
          <w:tab w:val="num" w:pos="5880"/>
        </w:tabs>
        <w:ind w:left="5880" w:hanging="360"/>
      </w:pPr>
    </w:lvl>
    <w:lvl w:ilvl="8" w:tplc="46B062D0" w:tentative="1">
      <w:start w:val="1"/>
      <w:numFmt w:val="lowerRoman"/>
      <w:lvlText w:val="%9."/>
      <w:lvlJc w:val="right"/>
      <w:pPr>
        <w:tabs>
          <w:tab w:val="num" w:pos="6600"/>
        </w:tabs>
        <w:ind w:left="6600" w:hanging="180"/>
      </w:pPr>
    </w:lvl>
  </w:abstractNum>
  <w:abstractNum w:abstractNumId="5" w15:restartNumberingAfterBreak="0">
    <w:nsid w:val="2D2B1515"/>
    <w:multiLevelType w:val="hybridMultilevel"/>
    <w:tmpl w:val="3C20F7D4"/>
    <w:lvl w:ilvl="0" w:tplc="1C7C115C">
      <w:start w:val="1"/>
      <w:numFmt w:val="bullet"/>
      <w:lvlText w:val=""/>
      <w:lvlJc w:val="left"/>
      <w:pPr>
        <w:tabs>
          <w:tab w:val="num" w:pos="720"/>
        </w:tabs>
        <w:ind w:left="720" w:hanging="360"/>
      </w:pPr>
      <w:rPr>
        <w:rFonts w:ascii="Symbol" w:hAnsi="Symbol" w:hint="default"/>
      </w:rPr>
    </w:lvl>
    <w:lvl w:ilvl="1" w:tplc="6BC4BF2A" w:tentative="1">
      <w:start w:val="1"/>
      <w:numFmt w:val="bullet"/>
      <w:lvlText w:val="o"/>
      <w:lvlJc w:val="left"/>
      <w:pPr>
        <w:tabs>
          <w:tab w:val="num" w:pos="1440"/>
        </w:tabs>
        <w:ind w:left="1440" w:hanging="360"/>
      </w:pPr>
      <w:rPr>
        <w:rFonts w:ascii="Courier New" w:hAnsi="Courier New" w:cs="Courier New" w:hint="default"/>
      </w:rPr>
    </w:lvl>
    <w:lvl w:ilvl="2" w:tplc="3A6A4C5A" w:tentative="1">
      <w:start w:val="1"/>
      <w:numFmt w:val="bullet"/>
      <w:lvlText w:val=""/>
      <w:lvlJc w:val="left"/>
      <w:pPr>
        <w:tabs>
          <w:tab w:val="num" w:pos="2160"/>
        </w:tabs>
        <w:ind w:left="2160" w:hanging="360"/>
      </w:pPr>
      <w:rPr>
        <w:rFonts w:ascii="Wingdings" w:hAnsi="Wingdings" w:hint="default"/>
      </w:rPr>
    </w:lvl>
    <w:lvl w:ilvl="3" w:tplc="9318A918" w:tentative="1">
      <w:start w:val="1"/>
      <w:numFmt w:val="bullet"/>
      <w:lvlText w:val=""/>
      <w:lvlJc w:val="left"/>
      <w:pPr>
        <w:tabs>
          <w:tab w:val="num" w:pos="2880"/>
        </w:tabs>
        <w:ind w:left="2880" w:hanging="360"/>
      </w:pPr>
      <w:rPr>
        <w:rFonts w:ascii="Symbol" w:hAnsi="Symbol" w:hint="default"/>
      </w:rPr>
    </w:lvl>
    <w:lvl w:ilvl="4" w:tplc="800CAF80" w:tentative="1">
      <w:start w:val="1"/>
      <w:numFmt w:val="bullet"/>
      <w:lvlText w:val="o"/>
      <w:lvlJc w:val="left"/>
      <w:pPr>
        <w:tabs>
          <w:tab w:val="num" w:pos="3600"/>
        </w:tabs>
        <w:ind w:left="3600" w:hanging="360"/>
      </w:pPr>
      <w:rPr>
        <w:rFonts w:ascii="Courier New" w:hAnsi="Courier New" w:cs="Courier New" w:hint="default"/>
      </w:rPr>
    </w:lvl>
    <w:lvl w:ilvl="5" w:tplc="65F03F8C" w:tentative="1">
      <w:start w:val="1"/>
      <w:numFmt w:val="bullet"/>
      <w:lvlText w:val=""/>
      <w:lvlJc w:val="left"/>
      <w:pPr>
        <w:tabs>
          <w:tab w:val="num" w:pos="4320"/>
        </w:tabs>
        <w:ind w:left="4320" w:hanging="360"/>
      </w:pPr>
      <w:rPr>
        <w:rFonts w:ascii="Wingdings" w:hAnsi="Wingdings" w:hint="default"/>
      </w:rPr>
    </w:lvl>
    <w:lvl w:ilvl="6" w:tplc="2C5E66CA" w:tentative="1">
      <w:start w:val="1"/>
      <w:numFmt w:val="bullet"/>
      <w:lvlText w:val=""/>
      <w:lvlJc w:val="left"/>
      <w:pPr>
        <w:tabs>
          <w:tab w:val="num" w:pos="5040"/>
        </w:tabs>
        <w:ind w:left="5040" w:hanging="360"/>
      </w:pPr>
      <w:rPr>
        <w:rFonts w:ascii="Symbol" w:hAnsi="Symbol" w:hint="default"/>
      </w:rPr>
    </w:lvl>
    <w:lvl w:ilvl="7" w:tplc="C6320868" w:tentative="1">
      <w:start w:val="1"/>
      <w:numFmt w:val="bullet"/>
      <w:lvlText w:val="o"/>
      <w:lvlJc w:val="left"/>
      <w:pPr>
        <w:tabs>
          <w:tab w:val="num" w:pos="5760"/>
        </w:tabs>
        <w:ind w:left="5760" w:hanging="360"/>
      </w:pPr>
      <w:rPr>
        <w:rFonts w:ascii="Courier New" w:hAnsi="Courier New" w:cs="Courier New" w:hint="default"/>
      </w:rPr>
    </w:lvl>
    <w:lvl w:ilvl="8" w:tplc="C590BF5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4A432656"/>
    <w:multiLevelType w:val="multilevel"/>
    <w:tmpl w:val="AC885D7A"/>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080"/>
        </w:tabs>
        <w:ind w:left="1080" w:hanging="600"/>
      </w:pPr>
    </w:lvl>
    <w:lvl w:ilvl="2">
      <w:start w:val="1"/>
      <w:numFmt w:val="decimal"/>
      <w:pStyle w:val="Titolo3"/>
      <w:lvlText w:val="%1.%2.%3."/>
      <w:lvlJc w:val="left"/>
      <w:pPr>
        <w:tabs>
          <w:tab w:val="num" w:pos="1920"/>
        </w:tabs>
        <w:ind w:left="1920" w:hanging="840"/>
      </w:pPr>
    </w:lvl>
    <w:lvl w:ilvl="3">
      <w:start w:val="1"/>
      <w:numFmt w:val="decimal"/>
      <w:pStyle w:val="Titolo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56176890"/>
    <w:multiLevelType w:val="hybridMultilevel"/>
    <w:tmpl w:val="754681CA"/>
    <w:lvl w:ilvl="0" w:tplc="B5F87838">
      <w:start w:val="1"/>
      <w:numFmt w:val="lowerLetter"/>
      <w:lvlText w:val="%1."/>
      <w:lvlJc w:val="left"/>
      <w:pPr>
        <w:tabs>
          <w:tab w:val="num" w:pos="1080"/>
        </w:tabs>
        <w:ind w:left="1080" w:hanging="360"/>
      </w:pPr>
    </w:lvl>
    <w:lvl w:ilvl="1" w:tplc="5EB6DC26" w:tentative="1">
      <w:start w:val="1"/>
      <w:numFmt w:val="lowerLetter"/>
      <w:lvlText w:val="%2."/>
      <w:lvlJc w:val="left"/>
      <w:pPr>
        <w:tabs>
          <w:tab w:val="num" w:pos="1800"/>
        </w:tabs>
        <w:ind w:left="1800" w:hanging="360"/>
      </w:pPr>
    </w:lvl>
    <w:lvl w:ilvl="2" w:tplc="42C60B1A" w:tentative="1">
      <w:start w:val="1"/>
      <w:numFmt w:val="lowerRoman"/>
      <w:lvlText w:val="%3."/>
      <w:lvlJc w:val="right"/>
      <w:pPr>
        <w:tabs>
          <w:tab w:val="num" w:pos="2520"/>
        </w:tabs>
        <w:ind w:left="2520" w:hanging="180"/>
      </w:pPr>
    </w:lvl>
    <w:lvl w:ilvl="3" w:tplc="33D255CE" w:tentative="1">
      <w:start w:val="1"/>
      <w:numFmt w:val="decimal"/>
      <w:lvlText w:val="%4."/>
      <w:lvlJc w:val="left"/>
      <w:pPr>
        <w:tabs>
          <w:tab w:val="num" w:pos="3240"/>
        </w:tabs>
        <w:ind w:left="3240" w:hanging="360"/>
      </w:pPr>
    </w:lvl>
    <w:lvl w:ilvl="4" w:tplc="15AE3694" w:tentative="1">
      <w:start w:val="1"/>
      <w:numFmt w:val="lowerLetter"/>
      <w:lvlText w:val="%5."/>
      <w:lvlJc w:val="left"/>
      <w:pPr>
        <w:tabs>
          <w:tab w:val="num" w:pos="3960"/>
        </w:tabs>
        <w:ind w:left="3960" w:hanging="360"/>
      </w:pPr>
    </w:lvl>
    <w:lvl w:ilvl="5" w:tplc="52AAAA1C" w:tentative="1">
      <w:start w:val="1"/>
      <w:numFmt w:val="lowerRoman"/>
      <w:lvlText w:val="%6."/>
      <w:lvlJc w:val="right"/>
      <w:pPr>
        <w:tabs>
          <w:tab w:val="num" w:pos="4680"/>
        </w:tabs>
        <w:ind w:left="4680" w:hanging="180"/>
      </w:pPr>
    </w:lvl>
    <w:lvl w:ilvl="6" w:tplc="6FFEE9B8" w:tentative="1">
      <w:start w:val="1"/>
      <w:numFmt w:val="decimal"/>
      <w:lvlText w:val="%7."/>
      <w:lvlJc w:val="left"/>
      <w:pPr>
        <w:tabs>
          <w:tab w:val="num" w:pos="5400"/>
        </w:tabs>
        <w:ind w:left="5400" w:hanging="360"/>
      </w:pPr>
    </w:lvl>
    <w:lvl w:ilvl="7" w:tplc="D9344DFC" w:tentative="1">
      <w:start w:val="1"/>
      <w:numFmt w:val="lowerLetter"/>
      <w:lvlText w:val="%8."/>
      <w:lvlJc w:val="left"/>
      <w:pPr>
        <w:tabs>
          <w:tab w:val="num" w:pos="6120"/>
        </w:tabs>
        <w:ind w:left="6120" w:hanging="360"/>
      </w:pPr>
    </w:lvl>
    <w:lvl w:ilvl="8" w:tplc="33D0158E" w:tentative="1">
      <w:start w:val="1"/>
      <w:numFmt w:val="lowerRoman"/>
      <w:lvlText w:val="%9."/>
      <w:lvlJc w:val="right"/>
      <w:pPr>
        <w:tabs>
          <w:tab w:val="num" w:pos="6840"/>
        </w:tabs>
        <w:ind w:left="6840" w:hanging="180"/>
      </w:pPr>
    </w:lvl>
  </w:abstractNum>
  <w:abstractNum w:abstractNumId="10" w15:restartNumberingAfterBreak="0">
    <w:nsid w:val="75E46B12"/>
    <w:multiLevelType w:val="hybridMultilevel"/>
    <w:tmpl w:val="E7F41804"/>
    <w:lvl w:ilvl="0" w:tplc="42D0AEF8">
      <w:start w:val="1"/>
      <w:numFmt w:val="bullet"/>
      <w:lvlText w:val=""/>
      <w:lvlJc w:val="left"/>
      <w:pPr>
        <w:ind w:left="720" w:hanging="360"/>
      </w:pPr>
      <w:rPr>
        <w:rFonts w:ascii="Symbol" w:hAnsi="Symbol" w:hint="default"/>
      </w:rPr>
    </w:lvl>
    <w:lvl w:ilvl="1" w:tplc="FD0A2326">
      <w:start w:val="1"/>
      <w:numFmt w:val="bullet"/>
      <w:lvlText w:val="o"/>
      <w:lvlJc w:val="left"/>
      <w:pPr>
        <w:ind w:left="1440" w:hanging="360"/>
      </w:pPr>
      <w:rPr>
        <w:rFonts w:ascii="Courier New" w:hAnsi="Courier New" w:cs="Courier New" w:hint="default"/>
      </w:rPr>
    </w:lvl>
    <w:lvl w:ilvl="2" w:tplc="EC227C16">
      <w:start w:val="1"/>
      <w:numFmt w:val="bullet"/>
      <w:lvlText w:val=""/>
      <w:lvlJc w:val="left"/>
      <w:pPr>
        <w:ind w:left="2160" w:hanging="360"/>
      </w:pPr>
      <w:rPr>
        <w:rFonts w:ascii="Wingdings" w:hAnsi="Wingdings" w:hint="default"/>
      </w:rPr>
    </w:lvl>
    <w:lvl w:ilvl="3" w:tplc="BB9281EA">
      <w:start w:val="1"/>
      <w:numFmt w:val="bullet"/>
      <w:lvlText w:val=""/>
      <w:lvlJc w:val="left"/>
      <w:pPr>
        <w:ind w:left="2880" w:hanging="360"/>
      </w:pPr>
      <w:rPr>
        <w:rFonts w:ascii="Symbol" w:hAnsi="Symbol" w:hint="default"/>
      </w:rPr>
    </w:lvl>
    <w:lvl w:ilvl="4" w:tplc="8896418A">
      <w:start w:val="1"/>
      <w:numFmt w:val="bullet"/>
      <w:lvlText w:val="o"/>
      <w:lvlJc w:val="left"/>
      <w:pPr>
        <w:ind w:left="3600" w:hanging="360"/>
      </w:pPr>
      <w:rPr>
        <w:rFonts w:ascii="Courier New" w:hAnsi="Courier New" w:cs="Courier New" w:hint="default"/>
      </w:rPr>
    </w:lvl>
    <w:lvl w:ilvl="5" w:tplc="C780F9AE">
      <w:start w:val="1"/>
      <w:numFmt w:val="bullet"/>
      <w:lvlText w:val=""/>
      <w:lvlJc w:val="left"/>
      <w:pPr>
        <w:ind w:left="4320" w:hanging="360"/>
      </w:pPr>
      <w:rPr>
        <w:rFonts w:ascii="Wingdings" w:hAnsi="Wingdings" w:hint="default"/>
      </w:rPr>
    </w:lvl>
    <w:lvl w:ilvl="6" w:tplc="25745842">
      <w:start w:val="1"/>
      <w:numFmt w:val="bullet"/>
      <w:lvlText w:val=""/>
      <w:lvlJc w:val="left"/>
      <w:pPr>
        <w:ind w:left="5040" w:hanging="360"/>
      </w:pPr>
      <w:rPr>
        <w:rFonts w:ascii="Symbol" w:hAnsi="Symbol" w:hint="default"/>
      </w:rPr>
    </w:lvl>
    <w:lvl w:ilvl="7" w:tplc="5E72925E">
      <w:start w:val="1"/>
      <w:numFmt w:val="bullet"/>
      <w:lvlText w:val="o"/>
      <w:lvlJc w:val="left"/>
      <w:pPr>
        <w:ind w:left="5760" w:hanging="360"/>
      </w:pPr>
      <w:rPr>
        <w:rFonts w:ascii="Courier New" w:hAnsi="Courier New" w:cs="Courier New" w:hint="default"/>
      </w:rPr>
    </w:lvl>
    <w:lvl w:ilvl="8" w:tplc="AE0EC4A6">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9"/>
  </w:num>
  <w:num w:numId="5">
    <w:abstractNumId w:val="4"/>
  </w:num>
  <w:num w:numId="6">
    <w:abstractNumId w:val="5"/>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 w:numId="12">
    <w:abstractNumId w:val="6"/>
  </w:num>
  <w:num w:numId="13">
    <w:abstractNumId w:val="6"/>
  </w:num>
  <w:num w:numId="14">
    <w:abstractNumId w:val="3"/>
  </w:num>
  <w:num w:numId="15">
    <w:abstractNumId w:val="8"/>
  </w:num>
  <w:num w:numId="16">
    <w:abstractNumId w:val="6"/>
  </w:num>
  <w:num w:numId="17">
    <w:abstractNumId w:val="10"/>
  </w:num>
  <w:num w:numId="18">
    <w:abstractNumId w:val="6"/>
  </w:num>
  <w:num w:numId="19">
    <w:abstractNumId w:val="6"/>
  </w:num>
  <w:num w:numId="20">
    <w:abstractNumId w:val="6"/>
  </w:num>
  <w:num w:numId="21">
    <w:abstractNumId w:val="2"/>
  </w:num>
  <w:num w:numId="22">
    <w:abstractNumId w:val="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854"/>
    <w:rsid w:val="00005778"/>
    <w:rsid w:val="00007D5A"/>
    <w:rsid w:val="00010699"/>
    <w:rsid w:val="00012ECB"/>
    <w:rsid w:val="0002394D"/>
    <w:rsid w:val="000257F0"/>
    <w:rsid w:val="00034B93"/>
    <w:rsid w:val="0005246F"/>
    <w:rsid w:val="000525A1"/>
    <w:rsid w:val="00066EA6"/>
    <w:rsid w:val="000856BB"/>
    <w:rsid w:val="00090669"/>
    <w:rsid w:val="000A63F8"/>
    <w:rsid w:val="000A724C"/>
    <w:rsid w:val="000D4547"/>
    <w:rsid w:val="000D72F5"/>
    <w:rsid w:val="000E026A"/>
    <w:rsid w:val="000E1C71"/>
    <w:rsid w:val="000E4F21"/>
    <w:rsid w:val="000F34A9"/>
    <w:rsid w:val="000F3FC1"/>
    <w:rsid w:val="00103194"/>
    <w:rsid w:val="00117C4F"/>
    <w:rsid w:val="00135262"/>
    <w:rsid w:val="00135C3C"/>
    <w:rsid w:val="001417F9"/>
    <w:rsid w:val="001546DD"/>
    <w:rsid w:val="00155757"/>
    <w:rsid w:val="00165AEE"/>
    <w:rsid w:val="001723E0"/>
    <w:rsid w:val="00182E6F"/>
    <w:rsid w:val="001A1A17"/>
    <w:rsid w:val="001A6841"/>
    <w:rsid w:val="001B0413"/>
    <w:rsid w:val="001B169F"/>
    <w:rsid w:val="001B3F20"/>
    <w:rsid w:val="001C333B"/>
    <w:rsid w:val="001C6EBE"/>
    <w:rsid w:val="001E07EB"/>
    <w:rsid w:val="001E6E56"/>
    <w:rsid w:val="001F60CF"/>
    <w:rsid w:val="001F62B9"/>
    <w:rsid w:val="00202A76"/>
    <w:rsid w:val="002060BF"/>
    <w:rsid w:val="00206BD2"/>
    <w:rsid w:val="0021123F"/>
    <w:rsid w:val="00211F81"/>
    <w:rsid w:val="00214556"/>
    <w:rsid w:val="002205CC"/>
    <w:rsid w:val="00220E60"/>
    <w:rsid w:val="00222190"/>
    <w:rsid w:val="0022453D"/>
    <w:rsid w:val="002321E1"/>
    <w:rsid w:val="00232FCC"/>
    <w:rsid w:val="002407B5"/>
    <w:rsid w:val="00244979"/>
    <w:rsid w:val="00253047"/>
    <w:rsid w:val="00266C6D"/>
    <w:rsid w:val="002677D1"/>
    <w:rsid w:val="00270910"/>
    <w:rsid w:val="00275369"/>
    <w:rsid w:val="00275EC7"/>
    <w:rsid w:val="00276937"/>
    <w:rsid w:val="00282394"/>
    <w:rsid w:val="00290506"/>
    <w:rsid w:val="00297B55"/>
    <w:rsid w:val="002A39A3"/>
    <w:rsid w:val="002A7A6A"/>
    <w:rsid w:val="002B0ED6"/>
    <w:rsid w:val="002B1E6F"/>
    <w:rsid w:val="002B2687"/>
    <w:rsid w:val="002B4E90"/>
    <w:rsid w:val="002B52BB"/>
    <w:rsid w:val="002C4645"/>
    <w:rsid w:val="002D09EE"/>
    <w:rsid w:val="002D3B2E"/>
    <w:rsid w:val="002D3C4E"/>
    <w:rsid w:val="002D50C8"/>
    <w:rsid w:val="002E46E9"/>
    <w:rsid w:val="002F3D4B"/>
    <w:rsid w:val="002F6064"/>
    <w:rsid w:val="0030465C"/>
    <w:rsid w:val="00321EB6"/>
    <w:rsid w:val="00322371"/>
    <w:rsid w:val="00322A1E"/>
    <w:rsid w:val="00323AFC"/>
    <w:rsid w:val="0033668C"/>
    <w:rsid w:val="00350682"/>
    <w:rsid w:val="003553BC"/>
    <w:rsid w:val="00360670"/>
    <w:rsid w:val="00364A52"/>
    <w:rsid w:val="0037192B"/>
    <w:rsid w:val="00373E15"/>
    <w:rsid w:val="00375EAA"/>
    <w:rsid w:val="0038505C"/>
    <w:rsid w:val="00387284"/>
    <w:rsid w:val="003A4077"/>
    <w:rsid w:val="003B58FA"/>
    <w:rsid w:val="003C00D5"/>
    <w:rsid w:val="003C182F"/>
    <w:rsid w:val="003D0162"/>
    <w:rsid w:val="003D6FA6"/>
    <w:rsid w:val="003E07F0"/>
    <w:rsid w:val="003E2D74"/>
    <w:rsid w:val="003F2689"/>
    <w:rsid w:val="003F5C78"/>
    <w:rsid w:val="004001FB"/>
    <w:rsid w:val="00400486"/>
    <w:rsid w:val="004104B3"/>
    <w:rsid w:val="00420E57"/>
    <w:rsid w:val="004221C1"/>
    <w:rsid w:val="00434C58"/>
    <w:rsid w:val="00435816"/>
    <w:rsid w:val="00440E83"/>
    <w:rsid w:val="00447436"/>
    <w:rsid w:val="00452D61"/>
    <w:rsid w:val="00470225"/>
    <w:rsid w:val="004705E1"/>
    <w:rsid w:val="0047649A"/>
    <w:rsid w:val="00477ABC"/>
    <w:rsid w:val="00481111"/>
    <w:rsid w:val="00481DCD"/>
    <w:rsid w:val="0048237D"/>
    <w:rsid w:val="00486199"/>
    <w:rsid w:val="004A5889"/>
    <w:rsid w:val="004B04EC"/>
    <w:rsid w:val="004B107B"/>
    <w:rsid w:val="004B21EA"/>
    <w:rsid w:val="004B2D15"/>
    <w:rsid w:val="004C34F6"/>
    <w:rsid w:val="004C74A0"/>
    <w:rsid w:val="004D0000"/>
    <w:rsid w:val="004E17B8"/>
    <w:rsid w:val="004E2B7C"/>
    <w:rsid w:val="005026BB"/>
    <w:rsid w:val="005043D7"/>
    <w:rsid w:val="0051190C"/>
    <w:rsid w:val="00511D6A"/>
    <w:rsid w:val="005175C4"/>
    <w:rsid w:val="00517E0F"/>
    <w:rsid w:val="00525272"/>
    <w:rsid w:val="00527DB7"/>
    <w:rsid w:val="00541224"/>
    <w:rsid w:val="00544CB6"/>
    <w:rsid w:val="00553FDF"/>
    <w:rsid w:val="00570389"/>
    <w:rsid w:val="00577EE9"/>
    <w:rsid w:val="00580BFC"/>
    <w:rsid w:val="0058357D"/>
    <w:rsid w:val="00587EDA"/>
    <w:rsid w:val="00596F6C"/>
    <w:rsid w:val="005A2456"/>
    <w:rsid w:val="005A71FB"/>
    <w:rsid w:val="005B58AC"/>
    <w:rsid w:val="005B6B18"/>
    <w:rsid w:val="005C33BB"/>
    <w:rsid w:val="005C40F2"/>
    <w:rsid w:val="005D23DC"/>
    <w:rsid w:val="005D263F"/>
    <w:rsid w:val="005D6484"/>
    <w:rsid w:val="005E50E9"/>
    <w:rsid w:val="005F0438"/>
    <w:rsid w:val="005F1FBB"/>
    <w:rsid w:val="005F7B99"/>
    <w:rsid w:val="00601449"/>
    <w:rsid w:val="006052A1"/>
    <w:rsid w:val="00615EF4"/>
    <w:rsid w:val="00615FBF"/>
    <w:rsid w:val="00627754"/>
    <w:rsid w:val="00627CF6"/>
    <w:rsid w:val="00634F71"/>
    <w:rsid w:val="0063527C"/>
    <w:rsid w:val="006366B3"/>
    <w:rsid w:val="006400ED"/>
    <w:rsid w:val="006450FC"/>
    <w:rsid w:val="0065710F"/>
    <w:rsid w:val="00666564"/>
    <w:rsid w:val="00677059"/>
    <w:rsid w:val="006814A9"/>
    <w:rsid w:val="00686497"/>
    <w:rsid w:val="00686FC7"/>
    <w:rsid w:val="006A14D1"/>
    <w:rsid w:val="006A3FA0"/>
    <w:rsid w:val="006A4553"/>
    <w:rsid w:val="006A6415"/>
    <w:rsid w:val="006B3882"/>
    <w:rsid w:val="006C0BF9"/>
    <w:rsid w:val="006C13AE"/>
    <w:rsid w:val="006C4A72"/>
    <w:rsid w:val="006D03CF"/>
    <w:rsid w:val="006E6C14"/>
    <w:rsid w:val="006F26A2"/>
    <w:rsid w:val="00710A93"/>
    <w:rsid w:val="00711B8A"/>
    <w:rsid w:val="00714088"/>
    <w:rsid w:val="00720032"/>
    <w:rsid w:val="007206C7"/>
    <w:rsid w:val="00720957"/>
    <w:rsid w:val="007214FD"/>
    <w:rsid w:val="0072190C"/>
    <w:rsid w:val="00734D8B"/>
    <w:rsid w:val="00735A48"/>
    <w:rsid w:val="00737C4E"/>
    <w:rsid w:val="00740F3F"/>
    <w:rsid w:val="007610AD"/>
    <w:rsid w:val="007755FD"/>
    <w:rsid w:val="00775D02"/>
    <w:rsid w:val="00780DC2"/>
    <w:rsid w:val="007A2DC5"/>
    <w:rsid w:val="007A54F6"/>
    <w:rsid w:val="007D0172"/>
    <w:rsid w:val="007D2C6B"/>
    <w:rsid w:val="007D3C7A"/>
    <w:rsid w:val="007E6AB5"/>
    <w:rsid w:val="007F06EA"/>
    <w:rsid w:val="007F158A"/>
    <w:rsid w:val="007F23C0"/>
    <w:rsid w:val="007F2BAC"/>
    <w:rsid w:val="008106D5"/>
    <w:rsid w:val="00813519"/>
    <w:rsid w:val="0081637F"/>
    <w:rsid w:val="0082752E"/>
    <w:rsid w:val="00827A11"/>
    <w:rsid w:val="00831731"/>
    <w:rsid w:val="008423F1"/>
    <w:rsid w:val="00846934"/>
    <w:rsid w:val="008551EF"/>
    <w:rsid w:val="00861CCF"/>
    <w:rsid w:val="008636D8"/>
    <w:rsid w:val="0086677C"/>
    <w:rsid w:val="00867774"/>
    <w:rsid w:val="008677BC"/>
    <w:rsid w:val="008725A6"/>
    <w:rsid w:val="00877ABE"/>
    <w:rsid w:val="00893237"/>
    <w:rsid w:val="00894824"/>
    <w:rsid w:val="008A140A"/>
    <w:rsid w:val="008B03DD"/>
    <w:rsid w:val="008B6D99"/>
    <w:rsid w:val="008C1ACE"/>
    <w:rsid w:val="008C2C7C"/>
    <w:rsid w:val="008C37E8"/>
    <w:rsid w:val="008E0E1F"/>
    <w:rsid w:val="008E1B82"/>
    <w:rsid w:val="008E4671"/>
    <w:rsid w:val="008E51FE"/>
    <w:rsid w:val="008E557D"/>
    <w:rsid w:val="008F3550"/>
    <w:rsid w:val="008F6C2D"/>
    <w:rsid w:val="00915E2D"/>
    <w:rsid w:val="009315C2"/>
    <w:rsid w:val="0093327E"/>
    <w:rsid w:val="009355AF"/>
    <w:rsid w:val="0094229E"/>
    <w:rsid w:val="00952304"/>
    <w:rsid w:val="0095436C"/>
    <w:rsid w:val="00960712"/>
    <w:rsid w:val="00966C05"/>
    <w:rsid w:val="00967B26"/>
    <w:rsid w:val="00972CEF"/>
    <w:rsid w:val="00987962"/>
    <w:rsid w:val="009A302A"/>
    <w:rsid w:val="009A37AB"/>
    <w:rsid w:val="009C28D6"/>
    <w:rsid w:val="009C4EA7"/>
    <w:rsid w:val="009C576F"/>
    <w:rsid w:val="009C7405"/>
    <w:rsid w:val="009D330E"/>
    <w:rsid w:val="009E1A69"/>
    <w:rsid w:val="009E2013"/>
    <w:rsid w:val="009E53CE"/>
    <w:rsid w:val="009F1600"/>
    <w:rsid w:val="009F2683"/>
    <w:rsid w:val="009F64EE"/>
    <w:rsid w:val="009F671E"/>
    <w:rsid w:val="00A021B6"/>
    <w:rsid w:val="00A107B3"/>
    <w:rsid w:val="00A17090"/>
    <w:rsid w:val="00A2026B"/>
    <w:rsid w:val="00A2352A"/>
    <w:rsid w:val="00A23912"/>
    <w:rsid w:val="00A25CEF"/>
    <w:rsid w:val="00A32D46"/>
    <w:rsid w:val="00A344FE"/>
    <w:rsid w:val="00A542B2"/>
    <w:rsid w:val="00A5713B"/>
    <w:rsid w:val="00A70868"/>
    <w:rsid w:val="00A73B10"/>
    <w:rsid w:val="00A87B5A"/>
    <w:rsid w:val="00A92AF8"/>
    <w:rsid w:val="00AA2F51"/>
    <w:rsid w:val="00AA74DE"/>
    <w:rsid w:val="00AB6A34"/>
    <w:rsid w:val="00AB7AF9"/>
    <w:rsid w:val="00AC4E66"/>
    <w:rsid w:val="00AC6795"/>
    <w:rsid w:val="00AE3509"/>
    <w:rsid w:val="00AE3C40"/>
    <w:rsid w:val="00AF2411"/>
    <w:rsid w:val="00AF3C87"/>
    <w:rsid w:val="00AF60E9"/>
    <w:rsid w:val="00B22E08"/>
    <w:rsid w:val="00B27B85"/>
    <w:rsid w:val="00B50FCB"/>
    <w:rsid w:val="00B56BB2"/>
    <w:rsid w:val="00B60913"/>
    <w:rsid w:val="00B6637A"/>
    <w:rsid w:val="00B73CD1"/>
    <w:rsid w:val="00B74817"/>
    <w:rsid w:val="00B80EEA"/>
    <w:rsid w:val="00B9092C"/>
    <w:rsid w:val="00BA6A8C"/>
    <w:rsid w:val="00BB119E"/>
    <w:rsid w:val="00BB2292"/>
    <w:rsid w:val="00BB2710"/>
    <w:rsid w:val="00BB3E20"/>
    <w:rsid w:val="00BB72C0"/>
    <w:rsid w:val="00BD14E4"/>
    <w:rsid w:val="00BD7403"/>
    <w:rsid w:val="00BE46B7"/>
    <w:rsid w:val="00BE6B94"/>
    <w:rsid w:val="00C20080"/>
    <w:rsid w:val="00C21CC2"/>
    <w:rsid w:val="00C237A3"/>
    <w:rsid w:val="00C36BE9"/>
    <w:rsid w:val="00C44277"/>
    <w:rsid w:val="00C45002"/>
    <w:rsid w:val="00C4629A"/>
    <w:rsid w:val="00C46B74"/>
    <w:rsid w:val="00C50342"/>
    <w:rsid w:val="00C50E62"/>
    <w:rsid w:val="00C5282F"/>
    <w:rsid w:val="00C622EC"/>
    <w:rsid w:val="00C71EF5"/>
    <w:rsid w:val="00C754E1"/>
    <w:rsid w:val="00C8027B"/>
    <w:rsid w:val="00CA5132"/>
    <w:rsid w:val="00CB39C7"/>
    <w:rsid w:val="00CB4206"/>
    <w:rsid w:val="00CC0917"/>
    <w:rsid w:val="00CC2754"/>
    <w:rsid w:val="00CC69C3"/>
    <w:rsid w:val="00CC6E90"/>
    <w:rsid w:val="00D05368"/>
    <w:rsid w:val="00D055B3"/>
    <w:rsid w:val="00D10109"/>
    <w:rsid w:val="00D125A0"/>
    <w:rsid w:val="00D15390"/>
    <w:rsid w:val="00D27CFB"/>
    <w:rsid w:val="00D30AA3"/>
    <w:rsid w:val="00D3301E"/>
    <w:rsid w:val="00D42E5D"/>
    <w:rsid w:val="00D4657E"/>
    <w:rsid w:val="00D46F82"/>
    <w:rsid w:val="00D53705"/>
    <w:rsid w:val="00D55BA3"/>
    <w:rsid w:val="00D56AE7"/>
    <w:rsid w:val="00D61411"/>
    <w:rsid w:val="00D61443"/>
    <w:rsid w:val="00D63ACE"/>
    <w:rsid w:val="00D65F0D"/>
    <w:rsid w:val="00D846EE"/>
    <w:rsid w:val="00DA1128"/>
    <w:rsid w:val="00DA1B03"/>
    <w:rsid w:val="00DA31A0"/>
    <w:rsid w:val="00DA49B2"/>
    <w:rsid w:val="00DA6AB4"/>
    <w:rsid w:val="00DA6B97"/>
    <w:rsid w:val="00DA6BD7"/>
    <w:rsid w:val="00DA6C4A"/>
    <w:rsid w:val="00DA742A"/>
    <w:rsid w:val="00DB020C"/>
    <w:rsid w:val="00DC3E56"/>
    <w:rsid w:val="00DE0020"/>
    <w:rsid w:val="00DE387F"/>
    <w:rsid w:val="00DF1277"/>
    <w:rsid w:val="00DF336B"/>
    <w:rsid w:val="00DF4B24"/>
    <w:rsid w:val="00E04195"/>
    <w:rsid w:val="00E10543"/>
    <w:rsid w:val="00E11DB0"/>
    <w:rsid w:val="00E131D0"/>
    <w:rsid w:val="00E15C7D"/>
    <w:rsid w:val="00E23B7D"/>
    <w:rsid w:val="00E41C5B"/>
    <w:rsid w:val="00E42543"/>
    <w:rsid w:val="00E47A5C"/>
    <w:rsid w:val="00E52967"/>
    <w:rsid w:val="00E55B0B"/>
    <w:rsid w:val="00E6191C"/>
    <w:rsid w:val="00E73370"/>
    <w:rsid w:val="00E75DF7"/>
    <w:rsid w:val="00E823BF"/>
    <w:rsid w:val="00E85BA7"/>
    <w:rsid w:val="00E9122F"/>
    <w:rsid w:val="00E92200"/>
    <w:rsid w:val="00E94D63"/>
    <w:rsid w:val="00E9510B"/>
    <w:rsid w:val="00E97153"/>
    <w:rsid w:val="00EA46FE"/>
    <w:rsid w:val="00EA55DF"/>
    <w:rsid w:val="00EA6016"/>
    <w:rsid w:val="00EA609B"/>
    <w:rsid w:val="00EA6FA8"/>
    <w:rsid w:val="00EE0760"/>
    <w:rsid w:val="00EE76F1"/>
    <w:rsid w:val="00EF0200"/>
    <w:rsid w:val="00EF22F7"/>
    <w:rsid w:val="00EF3412"/>
    <w:rsid w:val="00EF69B8"/>
    <w:rsid w:val="00F02854"/>
    <w:rsid w:val="00F1437D"/>
    <w:rsid w:val="00F14F31"/>
    <w:rsid w:val="00F154F9"/>
    <w:rsid w:val="00F16709"/>
    <w:rsid w:val="00F20447"/>
    <w:rsid w:val="00F21930"/>
    <w:rsid w:val="00F32208"/>
    <w:rsid w:val="00F43C1B"/>
    <w:rsid w:val="00F45BC4"/>
    <w:rsid w:val="00F47586"/>
    <w:rsid w:val="00F52D45"/>
    <w:rsid w:val="00F5779F"/>
    <w:rsid w:val="00F60BFF"/>
    <w:rsid w:val="00F6327D"/>
    <w:rsid w:val="00F75C69"/>
    <w:rsid w:val="00F7691B"/>
    <w:rsid w:val="00F8558F"/>
    <w:rsid w:val="00FA0DCA"/>
    <w:rsid w:val="00FA2A74"/>
    <w:rsid w:val="00FA689E"/>
    <w:rsid w:val="00FB27C9"/>
    <w:rsid w:val="00FB7062"/>
    <w:rsid w:val="00FC6E34"/>
    <w:rsid w:val="00FE3F91"/>
    <w:rsid w:val="00FE60D3"/>
    <w:rsid w:val="00FF0BCF"/>
    <w:rsid w:val="00FF106F"/>
    <w:rsid w:val="00FF2232"/>
    <w:rsid w:val="00FF35B8"/>
    <w:rsid w:val="00FF465A"/>
    <w:rsid w:val="00FF5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2F289D-1DD4-44C6-B02C-98C33E81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it-IT"/>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6B94"/>
    <w:pPr>
      <w:spacing w:after="240"/>
      <w:jc w:val="both"/>
    </w:pPr>
    <w:rPr>
      <w:rFonts w:ascii="Tahoma" w:hAnsi="Tahoma"/>
      <w:sz w:val="16"/>
    </w:rPr>
  </w:style>
  <w:style w:type="paragraph" w:styleId="Titolo1">
    <w:name w:val="heading 1"/>
    <w:basedOn w:val="Normale"/>
    <w:next w:val="Normale"/>
    <w:qFormat/>
    <w:rsid w:val="00F02854"/>
    <w:pPr>
      <w:keepNext/>
      <w:numPr>
        <w:numId w:val="1"/>
      </w:numPr>
      <w:spacing w:before="240"/>
      <w:outlineLvl w:val="0"/>
    </w:pPr>
    <w:rPr>
      <w:b/>
      <w:smallCaps/>
    </w:rPr>
  </w:style>
  <w:style w:type="paragraph" w:styleId="Titolo2">
    <w:name w:val="heading 2"/>
    <w:basedOn w:val="Normale"/>
    <w:next w:val="Text2"/>
    <w:qFormat/>
    <w:rsid w:val="00F02854"/>
    <w:pPr>
      <w:keepNext/>
      <w:numPr>
        <w:ilvl w:val="1"/>
        <w:numId w:val="1"/>
      </w:numPr>
      <w:outlineLvl w:val="1"/>
    </w:pPr>
    <w:rPr>
      <w:b/>
    </w:rPr>
  </w:style>
  <w:style w:type="paragraph" w:styleId="Titolo3">
    <w:name w:val="heading 3"/>
    <w:basedOn w:val="Normale"/>
    <w:next w:val="Normale"/>
    <w:qFormat/>
    <w:rsid w:val="00F02854"/>
    <w:pPr>
      <w:keepNext/>
      <w:numPr>
        <w:ilvl w:val="2"/>
        <w:numId w:val="1"/>
      </w:numPr>
      <w:outlineLvl w:val="2"/>
    </w:pPr>
    <w:rPr>
      <w:i/>
    </w:rPr>
  </w:style>
  <w:style w:type="paragraph" w:styleId="Titolo4">
    <w:name w:val="heading 4"/>
    <w:basedOn w:val="Normale"/>
    <w:next w:val="Normale"/>
    <w:qFormat/>
    <w:rsid w:val="00F02854"/>
    <w:pPr>
      <w:keepNext/>
      <w:numPr>
        <w:ilvl w:val="3"/>
        <w:numId w:val="1"/>
      </w:numPr>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2">
    <w:name w:val="Text 2"/>
    <w:basedOn w:val="Normale"/>
    <w:rsid w:val="00F02854"/>
    <w:pPr>
      <w:tabs>
        <w:tab w:val="left" w:pos="2160"/>
      </w:tabs>
      <w:ind w:left="1077"/>
    </w:pPr>
  </w:style>
  <w:style w:type="paragraph" w:styleId="Pidipagina">
    <w:name w:val="footer"/>
    <w:basedOn w:val="Normale"/>
    <w:rsid w:val="00F02854"/>
    <w:pPr>
      <w:spacing w:after="0"/>
      <w:ind w:right="-567"/>
      <w:jc w:val="left"/>
    </w:pPr>
    <w:rPr>
      <w:rFonts w:ascii="Arial" w:hAnsi="Arial"/>
    </w:rPr>
  </w:style>
  <w:style w:type="paragraph" w:styleId="Testonotaapidipagina">
    <w:name w:val="footnote text"/>
    <w:basedOn w:val="Normale"/>
    <w:link w:val="TestonotaapidipaginaCarattere"/>
    <w:semiHidden/>
    <w:rsid w:val="003B58FA"/>
    <w:pPr>
      <w:ind w:left="357" w:hanging="357"/>
    </w:pPr>
  </w:style>
  <w:style w:type="paragraph" w:styleId="Intestazione">
    <w:name w:val="header"/>
    <w:basedOn w:val="Normale"/>
    <w:rsid w:val="00F02854"/>
    <w:pPr>
      <w:tabs>
        <w:tab w:val="center" w:pos="4153"/>
        <w:tab w:val="right" w:pos="8306"/>
      </w:tabs>
    </w:pPr>
  </w:style>
  <w:style w:type="paragraph" w:styleId="Puntoelenco">
    <w:name w:val="List Bullet"/>
    <w:basedOn w:val="Normale"/>
    <w:rsid w:val="00F02854"/>
    <w:pPr>
      <w:numPr>
        <w:numId w:val="2"/>
      </w:numPr>
    </w:pPr>
  </w:style>
  <w:style w:type="paragraph" w:customStyle="1" w:styleId="NoteHead">
    <w:name w:val="NoteHead"/>
    <w:basedOn w:val="Normale"/>
    <w:next w:val="Normale"/>
    <w:rsid w:val="00F02854"/>
    <w:pPr>
      <w:spacing w:before="720" w:after="720"/>
      <w:jc w:val="center"/>
    </w:pPr>
    <w:rPr>
      <w:b/>
      <w:smallCaps/>
    </w:rPr>
  </w:style>
  <w:style w:type="paragraph" w:customStyle="1" w:styleId="ListBullet1">
    <w:name w:val="List Bullet 1"/>
    <w:basedOn w:val="Normale"/>
    <w:uiPriority w:val="99"/>
    <w:rsid w:val="00F02854"/>
    <w:pPr>
      <w:numPr>
        <w:numId w:val="3"/>
      </w:numPr>
    </w:pPr>
  </w:style>
  <w:style w:type="character" w:styleId="Rimandonotaapidipagina">
    <w:name w:val="footnote reference"/>
    <w:semiHidden/>
    <w:rsid w:val="00F02854"/>
    <w:rPr>
      <w:vertAlign w:val="superscript"/>
    </w:rPr>
  </w:style>
  <w:style w:type="character" w:styleId="Collegamentoipertestuale">
    <w:name w:val="Hyperlink"/>
    <w:rsid w:val="00F02854"/>
    <w:rPr>
      <w:color w:val="0000FF"/>
      <w:u w:val="single"/>
    </w:rPr>
  </w:style>
  <w:style w:type="paragraph" w:customStyle="1" w:styleId="Default">
    <w:name w:val="Default"/>
    <w:rsid w:val="00F02854"/>
    <w:pPr>
      <w:autoSpaceDE w:val="0"/>
      <w:autoSpaceDN w:val="0"/>
      <w:adjustRightInd w:val="0"/>
    </w:pPr>
    <w:rPr>
      <w:color w:val="000000"/>
      <w:sz w:val="24"/>
      <w:szCs w:val="24"/>
    </w:rPr>
  </w:style>
  <w:style w:type="character" w:styleId="Numeropagina">
    <w:name w:val="page number"/>
    <w:basedOn w:val="Carpredefinitoparagrafo"/>
    <w:rsid w:val="00F02854"/>
  </w:style>
  <w:style w:type="paragraph" w:customStyle="1" w:styleId="CharCharCharCharCharCharCharCharChar1CharCharCharCharCharChar">
    <w:name w:val="Char Char Char Char Char Char Char Char Char1 Char Char Char Char Char Char"/>
    <w:basedOn w:val="Normale"/>
    <w:rsid w:val="009E1A69"/>
    <w:pPr>
      <w:spacing w:after="0"/>
      <w:jc w:val="left"/>
    </w:pPr>
    <w:rPr>
      <w:szCs w:val="24"/>
    </w:rPr>
  </w:style>
  <w:style w:type="character" w:styleId="Rimandocommento">
    <w:name w:val="annotation reference"/>
    <w:semiHidden/>
    <w:rsid w:val="005175C4"/>
    <w:rPr>
      <w:sz w:val="16"/>
      <w:szCs w:val="16"/>
    </w:rPr>
  </w:style>
  <w:style w:type="paragraph" w:styleId="Testocommento">
    <w:name w:val="annotation text"/>
    <w:basedOn w:val="Normale"/>
    <w:semiHidden/>
    <w:rsid w:val="005175C4"/>
    <w:rPr>
      <w:sz w:val="20"/>
    </w:rPr>
  </w:style>
  <w:style w:type="paragraph" w:styleId="Soggettocommento">
    <w:name w:val="annotation subject"/>
    <w:basedOn w:val="Testocommento"/>
    <w:next w:val="Testocommento"/>
    <w:semiHidden/>
    <w:rsid w:val="005175C4"/>
    <w:rPr>
      <w:b/>
      <w:bCs/>
    </w:rPr>
  </w:style>
  <w:style w:type="paragraph" w:styleId="Testofumetto">
    <w:name w:val="Balloon Text"/>
    <w:basedOn w:val="Normale"/>
    <w:semiHidden/>
    <w:rsid w:val="005175C4"/>
    <w:rPr>
      <w:rFonts w:cs="Tahoma"/>
      <w:szCs w:val="16"/>
    </w:rPr>
  </w:style>
  <w:style w:type="paragraph" w:customStyle="1" w:styleId="Text1">
    <w:name w:val="Text 1"/>
    <w:basedOn w:val="Normale"/>
    <w:rsid w:val="00DF4B24"/>
    <w:pPr>
      <w:ind w:left="482"/>
    </w:pPr>
  </w:style>
  <w:style w:type="character" w:styleId="Collegamentovisitato">
    <w:name w:val="FollowedHyperlink"/>
    <w:rsid w:val="00FE60D3"/>
    <w:rPr>
      <w:color w:val="800080"/>
      <w:u w:val="single"/>
    </w:rPr>
  </w:style>
  <w:style w:type="paragraph" w:styleId="Paragrafoelenco">
    <w:name w:val="List Paragraph"/>
    <w:basedOn w:val="Normale"/>
    <w:uiPriority w:val="34"/>
    <w:qFormat/>
    <w:rsid w:val="00AA2F51"/>
    <w:pPr>
      <w:spacing w:after="0"/>
      <w:ind w:left="720"/>
      <w:jc w:val="left"/>
    </w:pPr>
    <w:rPr>
      <w:rFonts w:ascii="Calibri" w:eastAsia="Calibri" w:hAnsi="Calibri"/>
      <w:sz w:val="22"/>
      <w:szCs w:val="22"/>
    </w:rPr>
  </w:style>
  <w:style w:type="character" w:customStyle="1" w:styleId="TestonotaapidipaginaCarattere">
    <w:name w:val="Testo nota a piè di pagina Carattere"/>
    <w:link w:val="Testonotaapidipagina"/>
    <w:semiHidden/>
    <w:rsid w:val="003B58FA"/>
    <w:rPr>
      <w:rFonts w:ascii="Tahoma" w:hAnsi="Tahoma"/>
      <w:sz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dc.europa.eu/en/about-us/work-us/recruitment-proces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ecd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dc.europa.eu/en/aboutus/jobs/Documents/Staff_Regulations_2014.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C319E-8A45-4716-8163-ADA2B882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1125</Words>
  <Characters>7349</Characters>
  <Application>Microsoft Office Word</Application>
  <DocSecurity>4</DocSecurity>
  <Lines>61</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CDT</Company>
  <LinksUpToDate>false</LinksUpToDate>
  <CharactersWithSpaces>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rocche malatestiane</cp:lastModifiedBy>
  <cp:revision>2</cp:revision>
  <cp:lastPrinted>2012-04-24T06:49:00Z</cp:lastPrinted>
  <dcterms:created xsi:type="dcterms:W3CDTF">2018-09-12T09:55:00Z</dcterms:created>
  <dcterms:modified xsi:type="dcterms:W3CDTF">2018-09-12T09:55:00Z</dcterms:modified>
</cp:coreProperties>
</file>